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张磊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2019-N1QMS-1258213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2020-N1EMS-1258213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2020-N1OHSMS-1258213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ISC-258213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岳树亮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2020-N1QMS-1261927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2020-N1OHSMS-1261927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ISC-261927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郝本东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F:审核员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H:审核员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2018-N1QMS-2047774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2017-N1EMS-3047774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2018-N1FSMS-3047774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2018-N1HACCP-3047774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北京国标联合认证有限公司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Q:30.05.00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E:30.05.00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O:30.05.00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F:E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H:E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ISC-47774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苏州市金勺子餐饮管理有限公司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苏州吴中经济开发区郭巷街道吴东路1188-2号1幢1188-6室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320506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苏州吴中经济开发区郭巷街道吴东路1188-2号1幢1188-6室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320506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苏州吴中经济开发区郭巷街道吴东路1188-2号1幢1188-6室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320506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r>
              <w:rPr>
                <w:rFonts w:ascii="宋体"/>
                <w:b/>
                <w:sz w:val="21"/>
              </w:rPr>
              <w:t>0512-68797411</w:t>
            </w:r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徐伟伟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王闪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2020年08月15日 上午至2020年08月17日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Q：30.05.00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E：30.05.00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O：30.05.00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F：E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H：E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