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r>
        <w:drawing>
          <wp:anchor distT="0" distB="0" distL="114300" distR="114300" simplePos="0" relativeHeight="251658240" behindDoc="1" locked="0" layoutInCell="1" allowOverlap="1">
            <wp:simplePos x="0" y="0"/>
            <wp:positionH relativeFrom="column">
              <wp:posOffset>1604010</wp:posOffset>
            </wp:positionH>
            <wp:positionV relativeFrom="paragraph">
              <wp:posOffset>48895</wp:posOffset>
            </wp:positionV>
            <wp:extent cx="171450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descr="认证logo1"/>
                    <pic:cNvPicPr>
                      <a:picLocks noChangeAspect="1" noChangeArrowheads="1"/>
                    </pic:cNvPicPr>
                  </pic:nvPicPr>
                  <pic:blipFill>
                    <a:blip r:embed="rId6" cstate="print"/>
                    <a:srcRect/>
                    <a:stretch>
                      <a:fillRect/>
                    </a:stretch>
                  </pic:blipFill>
                  <pic:spPr>
                    <a:xfrm>
                      <a:off x="0" y="0"/>
                      <a:ext cx="1714500" cy="1901825"/>
                    </a:xfrm>
                    <a:prstGeom prst="rect">
                      <a:avLst/>
                    </a:prstGeom>
                    <a:noFill/>
                  </pic:spPr>
                </pic:pic>
              </a:graphicData>
            </a:graphic>
          </wp:anchor>
        </w:drawing>
      </w:r>
    </w:p>
    <w:p>
      <w:pPr>
        <w:jc w:val="center"/>
      </w:pPr>
    </w:p>
    <w:p>
      <w:pPr>
        <w:jc w:val="center"/>
      </w:pPr>
    </w:p>
    <w:p>
      <w:pPr>
        <w:jc w:val="center"/>
      </w:pPr>
    </w:p>
    <w:p>
      <w:pPr>
        <w:jc w:val="center"/>
      </w:pPr>
      <w:r>
        <w:t xml:space="preserve">                                                                       </w:t>
      </w: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（GB/T 19022-2003/ISO 10012:2003）</w:t>
      </w:r>
    </w:p>
    <w:p>
      <w:pPr>
        <w:widowControl/>
        <w:jc w:val="center"/>
        <w:rPr>
          <w:rFonts w:ascii="宋体" w:hAnsi="宋体"/>
          <w:b/>
          <w:sz w:val="48"/>
          <w:szCs w:val="48"/>
        </w:rPr>
      </w:pPr>
      <w:r>
        <w:rPr>
          <w:rFonts w:hint="eastAsia" w:ascii="宋体" w:hAnsi="宋体"/>
          <w:b/>
          <w:sz w:val="48"/>
          <w:szCs w:val="48"/>
        </w:rPr>
        <w:t>监督审核报告书</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hint="eastAsia" w:ascii="宋体" w:hAnsi="宋体"/>
          <w:sz w:val="32"/>
          <w:u w:val="single"/>
          <w:lang w:val="en-US" w:eastAsia="zh-CN"/>
        </w:rPr>
      </w:pPr>
      <w:r>
        <w:rPr>
          <w:rFonts w:hint="eastAsia" w:ascii="宋体" w:hAnsi="宋体"/>
          <w:sz w:val="32"/>
        </w:rPr>
        <w:t>认 证 企 业</w:t>
      </w:r>
      <w:r>
        <w:rPr>
          <w:rFonts w:hint="eastAsia" w:ascii="MS PGothic" w:hAnsi="MS PGothic"/>
          <w:sz w:val="32"/>
        </w:rPr>
        <w:t>：</w:t>
      </w:r>
      <w:r>
        <w:rPr>
          <w:rFonts w:hint="eastAsia" w:ascii="MS PGothic" w:hAnsi="MS PGothic"/>
          <w:sz w:val="32"/>
          <w:lang w:val="en-US" w:eastAsia="zh-CN"/>
        </w:rPr>
        <w:t xml:space="preserve"> </w:t>
      </w:r>
      <w:r>
        <w:rPr>
          <w:rFonts w:hint="eastAsia" w:ascii="宋体" w:hAnsi="宋体"/>
          <w:sz w:val="32"/>
          <w:u w:val="single"/>
          <w:lang w:val="en-US" w:eastAsia="zh-CN"/>
        </w:rPr>
        <w:t xml:space="preserve"> 大庆市龙兴石油机械有限公司</w:t>
      </w:r>
    </w:p>
    <w:p>
      <w:pPr>
        <w:spacing w:line="360" w:lineRule="auto"/>
        <w:jc w:val="left"/>
        <w:rPr>
          <w:rFonts w:ascii="宋体" w:hAnsi="宋体"/>
          <w:spacing w:val="32"/>
          <w:sz w:val="32"/>
          <w:u w:val="single"/>
        </w:rPr>
      </w:pPr>
      <w:r>
        <w:rPr>
          <w:rFonts w:hint="eastAsia" w:ascii="宋体" w:hAnsi="宋体"/>
          <w:spacing w:val="80"/>
          <w:sz w:val="32"/>
        </w:rPr>
        <w:t>编   号</w:t>
      </w:r>
      <w:r>
        <w:rPr>
          <w:rFonts w:hint="eastAsia" w:ascii="宋体" w:hAnsi="宋体"/>
          <w:sz w:val="32"/>
        </w:rPr>
        <w:t>：</w:t>
      </w:r>
      <w:r>
        <w:rPr>
          <w:rFonts w:hint="eastAsia" w:ascii="宋体" w:hAnsi="宋体"/>
          <w:sz w:val="32"/>
          <w:lang w:val="en-US" w:eastAsia="zh-CN"/>
        </w:rPr>
        <w:t xml:space="preserve">     </w:t>
      </w:r>
      <w:r>
        <w:rPr>
          <w:rFonts w:hint="eastAsia" w:ascii="宋体" w:hAnsi="宋体"/>
          <w:sz w:val="32"/>
          <w:u w:val="single"/>
          <w:lang w:val="en-US" w:eastAsia="zh-CN"/>
        </w:rPr>
        <w:t xml:space="preserve"> </w:t>
      </w:r>
      <w:r>
        <w:rPr>
          <w:rFonts w:hint="eastAsia" w:ascii="宋体" w:hAnsi="宋体"/>
          <w:sz w:val="32"/>
          <w:u w:val="single"/>
        </w:rPr>
        <w:t xml:space="preserve"> </w:t>
      </w:r>
      <w:r>
        <w:rPr>
          <w:rFonts w:hint="eastAsia" w:ascii="宋体" w:hAnsi="宋体"/>
          <w:sz w:val="32"/>
          <w:u w:val="single"/>
          <w:lang w:val="en-US" w:eastAsia="zh-CN"/>
        </w:rPr>
        <w:t>0046-2018-2020</w:t>
      </w:r>
      <w:r>
        <w:rPr>
          <w:rFonts w:hint="eastAsia" w:ascii="宋体" w:hAnsi="宋体"/>
          <w:sz w:val="32"/>
          <w:u w:val="single"/>
        </w:rPr>
        <w:t xml:space="preserve">   </w:t>
      </w:r>
    </w:p>
    <w:p>
      <w:pPr>
        <w:spacing w:line="360" w:lineRule="auto"/>
        <w:jc w:val="left"/>
        <w:rPr>
          <w:rFonts w:ascii="宋体" w:hAnsi="宋体"/>
          <w:sz w:val="32"/>
        </w:rPr>
      </w:pPr>
      <w:r>
        <w:rPr>
          <w:rFonts w:hint="eastAsia" w:ascii="宋体" w:hAnsi="宋体"/>
          <w:spacing w:val="80"/>
          <w:sz w:val="32"/>
        </w:rPr>
        <w:t>审核类型</w:t>
      </w:r>
      <w:r>
        <w:rPr>
          <w:rFonts w:hint="eastAsia" w:ascii="MS PGothic" w:hAnsi="MS PGothic"/>
          <w:sz w:val="32"/>
        </w:rPr>
        <w:t>：</w:t>
      </w:r>
      <w:r>
        <w:rPr>
          <w:rFonts w:hint="eastAsia" w:ascii="MS PGothic" w:hAnsi="MS PGothic"/>
          <w:sz w:val="32"/>
          <w:lang w:val="en-US" w:eastAsia="zh-CN"/>
        </w:rPr>
        <w:t xml:space="preserve">     </w:t>
      </w:r>
      <w:r>
        <w:rPr>
          <w:rFonts w:hint="eastAsia" w:ascii="MS PGothic" w:hAnsi="MS PGothic"/>
          <w:sz w:val="32"/>
          <w:u w:val="single"/>
        </w:rPr>
        <w:t xml:space="preserve">  </w:t>
      </w:r>
      <w:r>
        <w:rPr>
          <w:rFonts w:hint="eastAsia" w:ascii="MS PGothic" w:hAnsi="MS PGothic"/>
          <w:sz w:val="32"/>
          <w:u w:val="single"/>
          <w:lang w:val="en-US" w:eastAsia="zh-CN"/>
        </w:rPr>
        <w:t>2020</w:t>
      </w:r>
      <w:r>
        <w:rPr>
          <w:rFonts w:hint="eastAsia" w:ascii="宋体" w:hAnsi="宋体"/>
          <w:sz w:val="32"/>
          <w:u w:val="single"/>
        </w:rPr>
        <w:t>年度监督审核</w:t>
      </w:r>
      <w:r>
        <w:rPr>
          <w:rFonts w:hint="eastAsia" w:ascii="MS PGothic" w:hAnsi="MS PGothic"/>
          <w:sz w:val="32"/>
          <w:u w:val="single"/>
        </w:rPr>
        <w:t xml:space="preserve">  </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hint="default" w:ascii="Times New Roman" w:hAnsi="Times New Roman" w:eastAsia="宋体" w:cs="Times New Roman"/>
          <w:bCs/>
          <w:kern w:val="0"/>
          <w:sz w:val="18"/>
          <w:szCs w:val="18"/>
          <w:lang w:val="en-US" w:eastAsia="zh-CN"/>
        </w:rPr>
      </w:pPr>
      <w:r>
        <w:rPr>
          <w:rFonts w:ascii="Times New Roman" w:hAnsi="Times New Roman" w:eastAsia="宋体" w:cs="Times New Roman"/>
          <w:bCs/>
          <w:kern w:val="0"/>
          <w:sz w:val="18"/>
          <w:szCs w:val="18"/>
        </w:rPr>
        <w:t>编号：</w:t>
      </w:r>
      <w:r>
        <w:rPr>
          <w:rFonts w:ascii="Times New Roman" w:hAnsi="Times New Roman" w:eastAsia="宋体" w:cs="Times New Roman"/>
          <w:bCs/>
          <w:kern w:val="0"/>
          <w:sz w:val="18"/>
          <w:szCs w:val="18"/>
          <w:u w:val="single"/>
        </w:rPr>
        <w:t>0</w:t>
      </w:r>
      <w:r>
        <w:rPr>
          <w:rFonts w:hint="eastAsia" w:ascii="Times New Roman" w:hAnsi="Times New Roman" w:eastAsia="宋体" w:cs="Times New Roman"/>
          <w:bCs/>
          <w:kern w:val="0"/>
          <w:sz w:val="18"/>
          <w:szCs w:val="18"/>
          <w:u w:val="single"/>
          <w:lang w:val="en-US" w:eastAsia="zh-CN"/>
        </w:rPr>
        <w:t>046-</w:t>
      </w:r>
      <w:r>
        <w:rPr>
          <w:rFonts w:ascii="Times New Roman" w:hAnsi="Times New Roman" w:eastAsia="宋体" w:cs="Times New Roman"/>
          <w:bCs/>
          <w:kern w:val="0"/>
          <w:sz w:val="18"/>
          <w:szCs w:val="18"/>
          <w:u w:val="single"/>
        </w:rPr>
        <w:t>20</w:t>
      </w:r>
      <w:r>
        <w:rPr>
          <w:rFonts w:hint="eastAsia" w:ascii="Times New Roman" w:hAnsi="Times New Roman" w:eastAsia="宋体" w:cs="Times New Roman"/>
          <w:bCs/>
          <w:kern w:val="0"/>
          <w:sz w:val="18"/>
          <w:szCs w:val="18"/>
          <w:u w:val="single"/>
        </w:rPr>
        <w:t>1</w:t>
      </w:r>
      <w:r>
        <w:rPr>
          <w:rFonts w:hint="eastAsia" w:ascii="Times New Roman" w:hAnsi="Times New Roman" w:eastAsia="宋体" w:cs="Times New Roman"/>
          <w:bCs/>
          <w:kern w:val="0"/>
          <w:sz w:val="18"/>
          <w:szCs w:val="18"/>
          <w:u w:val="single"/>
          <w:lang w:val="en-US" w:eastAsia="zh-CN"/>
        </w:rPr>
        <w:t>8-</w:t>
      </w:r>
      <w:r>
        <w:rPr>
          <w:rFonts w:hint="eastAsia" w:ascii="Times New Roman" w:hAnsi="Times New Roman" w:eastAsia="宋体" w:cs="Times New Roman"/>
          <w:bCs/>
          <w:kern w:val="0"/>
          <w:sz w:val="18"/>
          <w:szCs w:val="18"/>
          <w:u w:val="single"/>
        </w:rPr>
        <w:t>20</w:t>
      </w:r>
      <w:r>
        <w:rPr>
          <w:rFonts w:hint="eastAsia" w:ascii="Times New Roman" w:hAnsi="Times New Roman" w:eastAsia="宋体" w:cs="Times New Roman"/>
          <w:bCs/>
          <w:kern w:val="0"/>
          <w:sz w:val="18"/>
          <w:szCs w:val="18"/>
          <w:u w:val="single"/>
          <w:lang w:val="en-US" w:eastAsia="zh-CN"/>
        </w:rPr>
        <w:t>20</w:t>
      </w:r>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8511"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9"/>
        <w:gridCol w:w="3119"/>
        <w:gridCol w:w="1984"/>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ascii="宋体" w:hAnsi="宋体"/>
                <w:szCs w:val="21"/>
              </w:rPr>
              <w:t>大庆</w:t>
            </w:r>
            <w:r>
              <w:rPr>
                <w:rFonts w:hint="eastAsia" w:ascii="宋体" w:hAnsi="宋体"/>
                <w:szCs w:val="21"/>
                <w:lang w:val="en-US" w:eastAsia="zh-CN"/>
              </w:rPr>
              <w:t>市龙兴石油机械</w:t>
            </w:r>
            <w:r>
              <w:rPr>
                <w:rFonts w:hint="eastAsia" w:ascii="宋体" w:hAnsi="宋体" w:eastAsia="宋体"/>
                <w:szCs w:val="21"/>
                <w:lang w:val="en-US" w:eastAsia="zh-CN"/>
              </w:rPr>
              <w:t>有限公司</w:t>
            </w:r>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企业联系人</w:t>
            </w:r>
          </w:p>
        </w:tc>
        <w:tc>
          <w:tcPr>
            <w:tcW w:w="1559" w:type="dxa"/>
          </w:tcPr>
          <w:p>
            <w:pPr>
              <w:tabs>
                <w:tab w:val="left" w:pos="880"/>
              </w:tabs>
              <w:autoSpaceDE w:val="0"/>
              <w:autoSpaceDN w:val="0"/>
              <w:adjustRightInd w:val="0"/>
              <w:spacing w:before="35" w:line="360" w:lineRule="auto"/>
              <w:ind w:right="161"/>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刘昌虎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认证证书编号</w:t>
            </w:r>
          </w:p>
        </w:tc>
        <w:tc>
          <w:tcPr>
            <w:tcW w:w="3119" w:type="dxa"/>
          </w:tcPr>
          <w:p>
            <w:pPr>
              <w:tabs>
                <w:tab w:val="left" w:pos="880"/>
              </w:tabs>
              <w:autoSpaceDE w:val="0"/>
              <w:autoSpaceDN w:val="0"/>
              <w:adjustRightInd w:val="0"/>
              <w:spacing w:before="35" w:line="276" w:lineRule="auto"/>
              <w:ind w:right="161"/>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ISC-2018</w:t>
            </w:r>
            <w:r>
              <w:rPr>
                <w:rFonts w:hint="eastAsia" w:cs="宋体" w:asciiTheme="minorEastAsia" w:hAnsiTheme="minorEastAsia"/>
                <w:kern w:val="0"/>
                <w:szCs w:val="21"/>
                <w:shd w:val="clear" w:color="auto" w:fill="auto"/>
                <w:lang w:val="en-US" w:eastAsia="zh-CN"/>
              </w:rPr>
              <w:t>-0360</w:t>
            </w:r>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证书有效期</w:t>
            </w:r>
          </w:p>
        </w:tc>
        <w:tc>
          <w:tcPr>
            <w:tcW w:w="1559" w:type="dxa"/>
          </w:tcPr>
          <w:p>
            <w:pPr>
              <w:tabs>
                <w:tab w:val="left" w:pos="880"/>
              </w:tabs>
              <w:autoSpaceDE w:val="0"/>
              <w:autoSpaceDN w:val="0"/>
              <w:adjustRightInd w:val="0"/>
              <w:spacing w:before="35" w:line="360" w:lineRule="auto"/>
              <w:ind w:right="161"/>
              <w:rPr>
                <w:rFonts w:hint="eastAsia" w:cs="宋体" w:asciiTheme="minorEastAsia" w:hAnsiTheme="minorEastAsia" w:eastAsiaTheme="minorEastAsia"/>
                <w:kern w:val="0"/>
                <w:szCs w:val="21"/>
                <w:lang w:val="en-US" w:eastAsia="zh-CN"/>
              </w:rPr>
            </w:pPr>
            <w:r>
              <w:rPr>
                <w:rFonts w:hint="eastAsia" w:cs="宋体" w:asciiTheme="minorEastAsia" w:hAnsiTheme="minorEastAsia"/>
                <w:kern w:val="0"/>
                <w:szCs w:val="21"/>
                <w:shd w:val="clear" w:color="auto" w:fill="auto"/>
                <w:lang w:val="en-US" w:eastAsia="zh-CN"/>
              </w:rPr>
              <w:t>2023.12.24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监督审核次数</w:t>
            </w:r>
          </w:p>
        </w:tc>
        <w:tc>
          <w:tcPr>
            <w:tcW w:w="3119" w:type="dxa"/>
          </w:tcPr>
          <w:p>
            <w:pPr>
              <w:tabs>
                <w:tab w:val="left" w:pos="880"/>
              </w:tabs>
              <w:autoSpaceDE w:val="0"/>
              <w:autoSpaceDN w:val="0"/>
              <w:adjustRightInd w:val="0"/>
              <w:spacing w:before="35" w:line="276" w:lineRule="auto"/>
              <w:ind w:right="161"/>
              <w:rPr>
                <w:rFonts w:hint="eastAsia"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第一次</w:t>
            </w:r>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本次监督</w:t>
            </w:r>
            <w:r>
              <w:rPr>
                <w:rFonts w:cs="宋体" w:asciiTheme="minorEastAsia" w:hAnsiTheme="minorEastAsia"/>
                <w:color w:val="333333"/>
                <w:kern w:val="0"/>
                <w:szCs w:val="21"/>
              </w:rPr>
              <w:t>时间</w:t>
            </w:r>
          </w:p>
        </w:tc>
        <w:tc>
          <w:tcPr>
            <w:tcW w:w="1559" w:type="dxa"/>
          </w:tcPr>
          <w:p>
            <w:pPr>
              <w:tabs>
                <w:tab w:val="left" w:pos="880"/>
              </w:tabs>
              <w:autoSpaceDE w:val="0"/>
              <w:autoSpaceDN w:val="0"/>
              <w:adjustRightInd w:val="0"/>
              <w:spacing w:before="35" w:line="360" w:lineRule="auto"/>
              <w:ind w:right="161"/>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2020.8.13-14日上午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849" w:type="dxa"/>
          </w:tcPr>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监督审核员</w:t>
            </w:r>
          </w:p>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姓名及确认号</w:t>
            </w:r>
          </w:p>
        </w:tc>
        <w:tc>
          <w:tcPr>
            <w:tcW w:w="3119" w:type="dxa"/>
          </w:tcPr>
          <w:p>
            <w:pPr>
              <w:spacing w:line="360" w:lineRule="auto"/>
              <w:jc w:val="center"/>
              <w:rPr>
                <w:rFonts w:hint="eastAsia" w:cs="Times New Roman" w:asciiTheme="minorEastAsia" w:hAnsiTheme="minorEastAsia"/>
                <w:szCs w:val="21"/>
                <w:lang w:val="en-US" w:eastAsia="zh-CN"/>
              </w:rPr>
            </w:pPr>
            <w:r>
              <w:rPr>
                <w:rFonts w:hint="eastAsia" w:cs="Times New Roman" w:asciiTheme="minorEastAsia" w:hAnsiTheme="minorEastAsia"/>
                <w:szCs w:val="21"/>
              </w:rPr>
              <w:t xml:space="preserve"> </w:t>
            </w:r>
            <w:r>
              <w:rPr>
                <w:rFonts w:hint="eastAsia" w:cs="Times New Roman" w:asciiTheme="minorEastAsia" w:hAnsiTheme="minorEastAsia"/>
                <w:szCs w:val="21"/>
                <w:lang w:val="en-US" w:eastAsia="zh-CN"/>
              </w:rPr>
              <w:t xml:space="preserve">王玉玲  </w:t>
            </w:r>
          </w:p>
          <w:p>
            <w:pPr>
              <w:spacing w:line="360" w:lineRule="auto"/>
              <w:jc w:val="both"/>
              <w:rPr>
                <w:rFonts w:hint="eastAsia" w:ascii="宋体" w:hAnsi="宋体"/>
                <w:szCs w:val="21"/>
              </w:rPr>
            </w:pPr>
            <w:r>
              <w:rPr>
                <w:rFonts w:hint="eastAsia" w:ascii="宋体" w:hAnsi="宋体"/>
                <w:szCs w:val="21"/>
              </w:rPr>
              <w:t>中认协注-{201</w:t>
            </w:r>
            <w:r>
              <w:rPr>
                <w:rFonts w:hint="eastAsia" w:ascii="宋体" w:hAnsi="宋体"/>
                <w:szCs w:val="21"/>
                <w:lang w:val="en-US" w:eastAsia="zh-CN"/>
              </w:rPr>
              <w:t>8</w:t>
            </w:r>
            <w:r>
              <w:rPr>
                <w:rFonts w:hint="eastAsia" w:ascii="宋体" w:hAnsi="宋体"/>
                <w:szCs w:val="21"/>
              </w:rPr>
              <w:t>}</w:t>
            </w:r>
            <w:r>
              <w:rPr>
                <w:rFonts w:hint="eastAsia" w:ascii="宋体" w:hAnsi="宋体"/>
                <w:szCs w:val="21"/>
                <w:lang w:val="en-US" w:eastAsia="zh-CN"/>
              </w:rPr>
              <w:t>98</w:t>
            </w:r>
            <w:r>
              <w:rPr>
                <w:rFonts w:hint="eastAsia" w:ascii="宋体" w:hAnsi="宋体"/>
                <w:szCs w:val="21"/>
              </w:rPr>
              <w:t>号</w:t>
            </w:r>
          </w:p>
          <w:p>
            <w:pPr>
              <w:spacing w:line="360" w:lineRule="auto"/>
              <w:jc w:val="both"/>
              <w:rPr>
                <w:rFonts w:hint="eastAsia" w:ascii="宋体" w:hAnsi="宋体" w:eastAsiaTheme="minorEastAsia"/>
                <w:szCs w:val="21"/>
                <w:lang w:val="en-US" w:eastAsia="zh-CN"/>
              </w:rPr>
            </w:pPr>
            <w:r>
              <w:rPr>
                <w:rFonts w:hint="eastAsia" w:ascii="宋体" w:hAnsi="宋体"/>
                <w:szCs w:val="21"/>
                <w:lang w:val="en-US" w:eastAsia="zh-CN"/>
              </w:rPr>
              <w:t>ISC</w:t>
            </w:r>
            <w:r>
              <w:rPr>
                <w:rFonts w:ascii="宋体" w:hAnsi="宋体"/>
                <w:szCs w:val="21"/>
              </w:rPr>
              <w:t>[S]</w:t>
            </w:r>
            <w:r>
              <w:rPr>
                <w:rFonts w:hint="eastAsia" w:ascii="宋体" w:hAnsi="宋体"/>
                <w:szCs w:val="21"/>
                <w:lang w:val="en-US" w:eastAsia="zh-CN"/>
              </w:rPr>
              <w:t>0006</w:t>
            </w:r>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cs="宋体" w:asciiTheme="minorEastAsia" w:hAnsiTheme="minorEastAsia"/>
                <w:bCs/>
                <w:kern w:val="0"/>
                <w:szCs w:val="21"/>
              </w:rPr>
              <w:t>监督审核涉及的区域或部门</w:t>
            </w:r>
          </w:p>
        </w:tc>
        <w:tc>
          <w:tcPr>
            <w:tcW w:w="1559" w:type="dxa"/>
          </w:tcPr>
          <w:p>
            <w:pPr>
              <w:jc w:val="center"/>
              <w:rPr>
                <w:rFonts w:hint="eastAsia"/>
                <w:bCs/>
                <w:sz w:val="18"/>
                <w:szCs w:val="18"/>
                <w:lang w:val="en-US" w:eastAsia="zh-CN"/>
              </w:rPr>
            </w:pPr>
            <w:r>
              <w:rPr>
                <w:rFonts w:hint="eastAsia" w:ascii="宋体" w:hAnsi="宋体" w:eastAsia="宋体" w:cs="宋体"/>
                <w:bCs/>
                <w:sz w:val="21"/>
                <w:szCs w:val="21"/>
                <w:lang w:eastAsia="zh-CN"/>
              </w:rPr>
              <w:t>管理层/技术质量部/生产部（生产车间）</w:t>
            </w:r>
            <w:r>
              <w:rPr>
                <w:rFonts w:hint="eastAsia" w:eastAsia="宋体"/>
                <w:sz w:val="18"/>
                <w:szCs w:val="18"/>
                <w:lang w:val="en-US" w:eastAsia="zh-CN"/>
              </w:rPr>
              <w:t>销售部</w:t>
            </w:r>
            <w:r>
              <w:rPr>
                <w:rFonts w:hint="eastAsia"/>
                <w:bCs/>
                <w:sz w:val="18"/>
                <w:szCs w:val="18"/>
                <w:lang w:val="en-US" w:eastAsia="zh-CN"/>
              </w:rPr>
              <w:t>/ 人力资源部/</w:t>
            </w:r>
            <w:r>
              <w:rPr>
                <w:rFonts w:hint="eastAsia"/>
                <w:sz w:val="18"/>
                <w:szCs w:val="18"/>
                <w:lang w:val="en-US" w:eastAsia="zh-CN"/>
              </w:rPr>
              <w:t>采购部</w:t>
            </w:r>
          </w:p>
          <w:p>
            <w:pPr>
              <w:jc w:val="center"/>
              <w:rPr>
                <w:rFonts w:hint="eastAsia" w:cs="宋体" w:asciiTheme="minorEastAsia" w:hAnsiTheme="minorEastAsia" w:eastAsiaTheme="minorEastAsia"/>
                <w:kern w:val="0"/>
                <w:szCs w:val="21"/>
                <w:lang w:val="en-US" w:eastAsia="zh-CN"/>
              </w:rPr>
            </w:pPr>
          </w:p>
        </w:tc>
      </w:tr>
    </w:tbl>
    <w:p>
      <w:pPr>
        <w:widowControl/>
        <w:spacing w:line="360" w:lineRule="auto"/>
        <w:rPr>
          <w:rFonts w:cs="宋体" w:asciiTheme="minorEastAsia" w:hAnsiTheme="minorEastAsia"/>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widowControl/>
        <w:spacing w:line="360" w:lineRule="auto"/>
        <w:rPr>
          <w:rFonts w:cs="宋体" w:asciiTheme="minorEastAsia" w:hAnsiTheme="minorEastAsia"/>
          <w:bCs/>
          <w:kern w:val="0"/>
          <w:szCs w:val="21"/>
        </w:rPr>
      </w:pPr>
      <w:r>
        <w:rPr>
          <w:rFonts w:hint="eastAsia" w:cs="宋体" w:asciiTheme="minorEastAsia" w:hAnsiTheme="minorEastAsia"/>
          <w:bCs/>
          <w:kern w:val="0"/>
          <w:szCs w:val="21"/>
        </w:rPr>
        <w:t>1.</w:t>
      </w:r>
      <w:r>
        <w:rPr>
          <w:rFonts w:cs="宋体" w:asciiTheme="minorEastAsia" w:hAnsiTheme="minorEastAsia"/>
          <w:bCs/>
          <w:kern w:val="0"/>
          <w:szCs w:val="21"/>
        </w:rPr>
        <w:t>一年内违反法律法规</w:t>
      </w:r>
      <w:r>
        <w:rPr>
          <w:rFonts w:hint="eastAsia" w:cs="宋体" w:asciiTheme="minorEastAsia" w:hAnsiTheme="minorEastAsia"/>
          <w:bCs/>
          <w:kern w:val="0"/>
          <w:szCs w:val="21"/>
        </w:rPr>
        <w:t>或</w:t>
      </w:r>
      <w:r>
        <w:rPr>
          <w:rFonts w:cs="宋体" w:asciiTheme="minorEastAsia" w:hAnsiTheme="minorEastAsia"/>
          <w:bCs/>
          <w:kern w:val="0"/>
          <w:szCs w:val="21"/>
        </w:rPr>
        <w:t>重大事故的情况：</w:t>
      </w:r>
    </w:p>
    <w:p>
      <w:pPr>
        <w:widowControl/>
        <w:spacing w:line="360" w:lineRule="auto"/>
        <w:ind w:firstLine="240" w:firstLineChars="100"/>
        <w:rPr>
          <w:rFonts w:cs="宋体" w:asciiTheme="minorEastAsia" w:hAnsiTheme="minorEastAsia"/>
          <w:bCs/>
          <w:kern w:val="0"/>
          <w:sz w:val="24"/>
          <w:szCs w:val="24"/>
        </w:rPr>
      </w:pPr>
      <w:r>
        <w:rPr>
          <w:rFonts w:hint="eastAsia"/>
          <w:bCs/>
          <w:sz w:val="24"/>
          <w:szCs w:val="24"/>
        </w:rPr>
        <w:t xml:space="preserve"> </w:t>
      </w:r>
      <w:r>
        <w:rPr>
          <w:rFonts w:cs="宋体" w:asciiTheme="minorEastAsia" w:hAnsiTheme="minorEastAsia"/>
          <w:bCs/>
          <w:kern w:val="0"/>
          <w:sz w:val="24"/>
          <w:szCs w:val="24"/>
        </w:rPr>
        <w:t>一年内</w:t>
      </w:r>
      <w:r>
        <w:rPr>
          <w:rFonts w:hint="eastAsia" w:cs="宋体" w:asciiTheme="minorEastAsia" w:hAnsiTheme="minorEastAsia"/>
          <w:bCs/>
          <w:kern w:val="0"/>
          <w:sz w:val="24"/>
          <w:szCs w:val="24"/>
        </w:rPr>
        <w:t>，</w:t>
      </w:r>
      <w:r>
        <w:rPr>
          <w:rFonts w:hint="eastAsia" w:ascii="宋体" w:hAnsi="宋体"/>
          <w:sz w:val="24"/>
          <w:szCs w:val="24"/>
        </w:rPr>
        <w:t>公司</w:t>
      </w:r>
      <w:r>
        <w:rPr>
          <w:rFonts w:hint="eastAsia"/>
          <w:bCs/>
          <w:sz w:val="24"/>
          <w:szCs w:val="24"/>
        </w:rPr>
        <w:t>日常运行中生产、经营、</w:t>
      </w:r>
      <w:r>
        <w:rPr>
          <w:rFonts w:hint="eastAsia"/>
          <w:bCs/>
          <w:sz w:val="24"/>
          <w:szCs w:val="24"/>
          <w:lang w:val="en-US" w:eastAsia="zh-CN"/>
        </w:rPr>
        <w:t>环境、</w:t>
      </w:r>
      <w:r>
        <w:rPr>
          <w:rFonts w:hint="eastAsia"/>
          <w:bCs/>
          <w:sz w:val="24"/>
          <w:szCs w:val="24"/>
        </w:rPr>
        <w:t>安全、销售及管理方面</w:t>
      </w:r>
      <w:r>
        <w:rPr>
          <w:rFonts w:hint="eastAsia"/>
          <w:bCs/>
          <w:sz w:val="24"/>
          <w:szCs w:val="24"/>
          <w:lang w:val="en-US" w:eastAsia="zh-CN"/>
        </w:rPr>
        <w:t>比去年都有一定提升，</w:t>
      </w:r>
      <w:r>
        <w:rPr>
          <w:rFonts w:hint="eastAsia"/>
          <w:bCs/>
          <w:sz w:val="24"/>
          <w:szCs w:val="24"/>
        </w:rPr>
        <w:t>未</w:t>
      </w:r>
      <w:r>
        <w:rPr>
          <w:rFonts w:hint="eastAsia"/>
          <w:bCs/>
          <w:sz w:val="24"/>
          <w:szCs w:val="24"/>
          <w:lang w:val="en-US" w:eastAsia="zh-CN"/>
        </w:rPr>
        <w:t>见</w:t>
      </w:r>
      <w:r>
        <w:rPr>
          <w:rFonts w:cs="宋体" w:asciiTheme="minorEastAsia" w:hAnsiTheme="minorEastAsia"/>
          <w:bCs/>
          <w:kern w:val="0"/>
          <w:sz w:val="24"/>
          <w:szCs w:val="24"/>
        </w:rPr>
        <w:t>违反法律</w:t>
      </w:r>
      <w:r>
        <w:rPr>
          <w:rFonts w:hint="eastAsia" w:cs="宋体" w:asciiTheme="minorEastAsia" w:hAnsiTheme="minorEastAsia"/>
          <w:bCs/>
          <w:kern w:val="0"/>
          <w:sz w:val="24"/>
          <w:szCs w:val="24"/>
        </w:rPr>
        <w:t>、</w:t>
      </w:r>
      <w:r>
        <w:rPr>
          <w:rFonts w:cs="宋体" w:asciiTheme="minorEastAsia" w:hAnsiTheme="minorEastAsia"/>
          <w:bCs/>
          <w:kern w:val="0"/>
          <w:sz w:val="24"/>
          <w:szCs w:val="24"/>
        </w:rPr>
        <w:t>法规</w:t>
      </w:r>
      <w:r>
        <w:rPr>
          <w:rFonts w:hint="eastAsia" w:cs="宋体" w:asciiTheme="minorEastAsia" w:hAnsiTheme="minorEastAsia"/>
          <w:bCs/>
          <w:kern w:val="0"/>
          <w:sz w:val="24"/>
          <w:szCs w:val="24"/>
        </w:rPr>
        <w:t>问题或</w:t>
      </w:r>
      <w:r>
        <w:rPr>
          <w:rFonts w:cs="宋体" w:asciiTheme="minorEastAsia" w:hAnsiTheme="minorEastAsia"/>
          <w:bCs/>
          <w:kern w:val="0"/>
          <w:sz w:val="24"/>
          <w:szCs w:val="24"/>
        </w:rPr>
        <w:t>重大</w:t>
      </w:r>
      <w:r>
        <w:rPr>
          <w:rFonts w:hint="eastAsia" w:cs="宋体" w:asciiTheme="minorEastAsia" w:hAnsiTheme="minorEastAsia"/>
          <w:bCs/>
          <w:kern w:val="0"/>
          <w:sz w:val="24"/>
          <w:szCs w:val="24"/>
          <w:lang w:val="en-US" w:eastAsia="zh-CN"/>
        </w:rPr>
        <w:t>质量</w:t>
      </w:r>
      <w:r>
        <w:rPr>
          <w:rFonts w:cs="宋体" w:asciiTheme="minorEastAsia" w:hAnsiTheme="minorEastAsia"/>
          <w:bCs/>
          <w:kern w:val="0"/>
          <w:sz w:val="24"/>
          <w:szCs w:val="24"/>
        </w:rPr>
        <w:t>事故</w:t>
      </w:r>
      <w:r>
        <w:rPr>
          <w:rFonts w:hint="eastAsia" w:cs="宋体" w:asciiTheme="minorEastAsia" w:hAnsiTheme="minorEastAsia"/>
          <w:bCs/>
          <w:kern w:val="0"/>
          <w:sz w:val="24"/>
          <w:szCs w:val="24"/>
        </w:rPr>
        <w:t>发生。</w:t>
      </w:r>
    </w:p>
    <w:p>
      <w:pPr>
        <w:widowControl/>
        <w:spacing w:line="276" w:lineRule="auto"/>
        <w:rPr>
          <w:rFonts w:cs="宋体" w:asciiTheme="minorEastAsia" w:hAnsiTheme="minorEastAsia"/>
          <w:bCs/>
          <w:kern w:val="0"/>
          <w:szCs w:val="21"/>
        </w:rPr>
      </w:pPr>
    </w:p>
    <w:p>
      <w:pPr>
        <w:numPr>
          <w:ilvl w:val="0"/>
          <w:numId w:val="1"/>
        </w:numPr>
        <w:spacing w:line="360" w:lineRule="auto"/>
        <w:ind w:right="-512" w:rightChars="-244"/>
        <w:rPr>
          <w:rFonts w:hint="eastAsia" w:ascii="宋体" w:hAnsi="宋体"/>
          <w:sz w:val="24"/>
          <w:szCs w:val="24"/>
          <w:lang w:val="en-US" w:eastAsia="zh-CN"/>
        </w:rPr>
      </w:pPr>
      <w:r>
        <w:rPr>
          <w:rFonts w:cs="宋体" w:asciiTheme="minorEastAsia" w:hAnsiTheme="minorEastAsia"/>
          <w:bCs/>
          <w:kern w:val="0"/>
          <w:szCs w:val="21"/>
        </w:rPr>
        <w:t>监督审核过程简述：</w:t>
      </w:r>
      <w:r>
        <w:rPr>
          <w:rFonts w:hint="eastAsia" w:ascii="宋体" w:hAnsi="宋体"/>
          <w:sz w:val="24"/>
          <w:szCs w:val="24"/>
          <w:lang w:val="en-US" w:eastAsia="zh-CN"/>
        </w:rPr>
        <w:t xml:space="preserve"> </w:t>
      </w:r>
    </w:p>
    <w:p>
      <w:pPr>
        <w:spacing w:line="360" w:lineRule="auto"/>
        <w:ind w:right="-512" w:rightChars="-244" w:firstLine="480" w:firstLineChars="200"/>
        <w:rPr>
          <w:rFonts w:ascii="宋体" w:hAnsi="宋体"/>
          <w:sz w:val="24"/>
          <w:szCs w:val="24"/>
        </w:rPr>
      </w:pPr>
      <w:r>
        <w:rPr>
          <w:rFonts w:hint="eastAsia" w:ascii="宋体" w:hAnsi="宋体"/>
          <w:sz w:val="24"/>
          <w:szCs w:val="24"/>
        </w:rPr>
        <w:t>为有效评价公司测量管理体系认证后</w:t>
      </w:r>
      <w:r>
        <w:rPr>
          <w:rFonts w:hint="eastAsia" w:ascii="宋体" w:hAnsi="宋体"/>
          <w:sz w:val="24"/>
          <w:szCs w:val="24"/>
          <w:lang w:val="en-US" w:eastAsia="zh-CN"/>
        </w:rPr>
        <w:t>一</w:t>
      </w:r>
      <w:r>
        <w:rPr>
          <w:rFonts w:hint="eastAsia" w:ascii="宋体" w:hAnsi="宋体"/>
          <w:sz w:val="24"/>
          <w:szCs w:val="24"/>
        </w:rPr>
        <w:t>年以来运行情况，在</w:t>
      </w:r>
      <w:r>
        <w:rPr>
          <w:rFonts w:hint="eastAsia" w:ascii="宋体" w:hAnsi="宋体"/>
          <w:szCs w:val="21"/>
          <w:lang w:eastAsia="zh-CN"/>
        </w:rPr>
        <w:t>大庆市龙兴石油机械</w:t>
      </w:r>
      <w:r>
        <w:rPr>
          <w:rFonts w:hint="eastAsia" w:ascii="宋体" w:hAnsi="宋体"/>
          <w:sz w:val="24"/>
          <w:szCs w:val="24"/>
        </w:rPr>
        <w:t>有限公司现场审核中，审核组先、后抽样检查了涉及公司测量体系内的、生产、经营、质量和环境等方面的</w:t>
      </w:r>
      <w:r>
        <w:rPr>
          <w:rFonts w:hint="eastAsia" w:ascii="宋体" w:hAnsi="宋体"/>
          <w:sz w:val="24"/>
          <w:szCs w:val="24"/>
          <w:lang w:val="en-US" w:eastAsia="zh-CN"/>
        </w:rPr>
        <w:t>5</w:t>
      </w:r>
      <w:r>
        <w:rPr>
          <w:rFonts w:hint="eastAsia" w:ascii="宋体" w:hAnsi="宋体"/>
          <w:sz w:val="24"/>
          <w:szCs w:val="24"/>
        </w:rPr>
        <w:t>个职能部门和生产</w:t>
      </w:r>
      <w:r>
        <w:rPr>
          <w:rFonts w:hint="eastAsia" w:ascii="宋体" w:hAnsi="宋体"/>
          <w:sz w:val="24"/>
          <w:szCs w:val="24"/>
          <w:lang w:val="en-US" w:eastAsia="zh-CN"/>
        </w:rPr>
        <w:t>车间。</w:t>
      </w:r>
      <w:r>
        <w:rPr>
          <w:rFonts w:hint="eastAsia" w:ascii="宋体" w:hAnsi="宋体"/>
          <w:sz w:val="24"/>
          <w:szCs w:val="24"/>
        </w:rPr>
        <w:t>重点</w:t>
      </w:r>
      <w:r>
        <w:rPr>
          <w:rFonts w:hint="eastAsia" w:ascii="宋体" w:hAnsi="宋体"/>
          <w:sz w:val="24"/>
          <w:szCs w:val="24"/>
          <w:lang w:eastAsia="zh-CN"/>
        </w:rPr>
        <w:t>审核</w:t>
      </w:r>
      <w:r>
        <w:rPr>
          <w:rFonts w:hint="eastAsia" w:ascii="宋体" w:hAnsi="宋体"/>
          <w:sz w:val="24"/>
          <w:szCs w:val="24"/>
          <w:lang w:val="en-US" w:eastAsia="zh-CN"/>
        </w:rPr>
        <w:t>原材料</w:t>
      </w:r>
      <w:r>
        <w:rPr>
          <w:rFonts w:hint="eastAsia"/>
          <w:sz w:val="24"/>
          <w:szCs w:val="24"/>
        </w:rPr>
        <w:t>进厂检测、产品</w:t>
      </w:r>
      <w:r>
        <w:rPr>
          <w:rFonts w:hint="eastAsia"/>
          <w:sz w:val="24"/>
          <w:szCs w:val="24"/>
          <w:lang w:eastAsia="zh-CN"/>
        </w:rPr>
        <w:t>出厂检验等测量过程</w:t>
      </w:r>
      <w:r>
        <w:rPr>
          <w:rStyle w:val="10"/>
          <w:rFonts w:hint="eastAsia" w:ascii="宋体" w:eastAsia="宋体"/>
          <w:sz w:val="24"/>
          <w:szCs w:val="24"/>
        </w:rPr>
        <w:t>及测量设备量值溯源完成情况</w:t>
      </w:r>
      <w:r>
        <w:rPr>
          <w:rStyle w:val="10"/>
          <w:rFonts w:hint="eastAsia" w:ascii="宋体" w:eastAsia="宋体"/>
          <w:sz w:val="24"/>
          <w:szCs w:val="24"/>
          <w:lang w:eastAsia="zh-CN"/>
        </w:rPr>
        <w:t>等</w:t>
      </w:r>
      <w:r>
        <w:rPr>
          <w:rStyle w:val="10"/>
          <w:rFonts w:hint="eastAsia" w:ascii="宋体" w:eastAsia="宋体"/>
          <w:sz w:val="24"/>
          <w:szCs w:val="24"/>
        </w:rPr>
        <w:t>。</w:t>
      </w:r>
      <w:r>
        <w:rPr>
          <w:rStyle w:val="10"/>
          <w:rFonts w:hint="eastAsia" w:ascii="宋体" w:eastAsia="宋体"/>
          <w:sz w:val="24"/>
          <w:szCs w:val="24"/>
          <w:lang w:val="en-US" w:eastAsia="zh-CN"/>
        </w:rPr>
        <w:t>该企业</w:t>
      </w:r>
      <w:r>
        <w:rPr>
          <w:rFonts w:hint="eastAsia" w:ascii="宋体" w:hAnsi="宋体" w:cs="宋体"/>
          <w:kern w:val="0"/>
          <w:sz w:val="24"/>
          <w:szCs w:val="24"/>
        </w:rPr>
        <w:t>领导</w:t>
      </w:r>
      <w:r>
        <w:rPr>
          <w:rFonts w:hint="eastAsia" w:ascii="宋体" w:hAnsi="宋体" w:cs="宋体"/>
          <w:kern w:val="0"/>
          <w:sz w:val="24"/>
          <w:szCs w:val="24"/>
          <w:lang w:val="en-US" w:eastAsia="zh-CN"/>
        </w:rPr>
        <w:t>非常重视</w:t>
      </w:r>
      <w:r>
        <w:rPr>
          <w:rFonts w:hint="eastAsia" w:ascii="宋体" w:hAnsi="宋体" w:cs="宋体"/>
          <w:kern w:val="0"/>
          <w:sz w:val="24"/>
          <w:szCs w:val="24"/>
        </w:rPr>
        <w:t>测量管理体系各项工作，</w:t>
      </w:r>
      <w:r>
        <w:rPr>
          <w:rFonts w:hint="eastAsia" w:ascii="宋体" w:hAnsi="宋体" w:cs="宋体"/>
          <w:kern w:val="0"/>
          <w:sz w:val="24"/>
          <w:szCs w:val="24"/>
          <w:lang w:val="en-US" w:eastAsia="zh-CN"/>
        </w:rPr>
        <w:t>完善了资源的配备，</w:t>
      </w:r>
      <w:r>
        <w:rPr>
          <w:rFonts w:hint="eastAsia" w:ascii="宋体" w:hAnsi="宋体"/>
          <w:bCs/>
          <w:sz w:val="24"/>
          <w:szCs w:val="24"/>
        </w:rPr>
        <w:t>质量目标完成情况较好</w:t>
      </w:r>
      <w:r>
        <w:rPr>
          <w:rFonts w:hint="eastAsia" w:ascii="宋体" w:hAnsi="宋体"/>
          <w:bCs/>
          <w:sz w:val="24"/>
          <w:szCs w:val="24"/>
          <w:lang w:val="en-US" w:eastAsia="zh-CN"/>
        </w:rPr>
        <w:t>；</w:t>
      </w:r>
      <w:r>
        <w:rPr>
          <w:rFonts w:hint="eastAsia" w:ascii="宋体" w:hAnsi="宋体"/>
          <w:szCs w:val="21"/>
          <w:lang w:eastAsia="zh-CN"/>
        </w:rPr>
        <w:t>大庆市龙兴石油机械</w:t>
      </w:r>
      <w:r>
        <w:rPr>
          <w:rFonts w:hint="eastAsia" w:ascii="宋体" w:hAnsi="宋体"/>
          <w:bCs/>
          <w:sz w:val="24"/>
          <w:szCs w:val="24"/>
          <w:lang w:val="en-US" w:eastAsia="zh-CN"/>
        </w:rPr>
        <w:t>有限公司测量管理体系的符合性、有效性及持续改进，符合GB/T 19022-2003标准要求，公司测量管理体系正常有序运行，较好地满足了公司生产、销售和持续发展的</w:t>
      </w:r>
      <w:r>
        <w:rPr>
          <w:rFonts w:hint="eastAsia" w:ascii="宋体" w:hAnsi="宋体"/>
          <w:sz w:val="24"/>
          <w:szCs w:val="24"/>
        </w:rPr>
        <w:t>需要。</w:t>
      </w:r>
    </w:p>
    <w:p>
      <w:pPr>
        <w:widowControl/>
        <w:numPr>
          <w:ilvl w:val="0"/>
          <w:numId w:val="0"/>
        </w:numPr>
        <w:spacing w:line="360" w:lineRule="auto"/>
        <w:ind w:leftChars="0"/>
        <w:rPr>
          <w:rFonts w:hint="eastAsia" w:ascii="宋体" w:hAnsi="宋体"/>
          <w:sz w:val="24"/>
          <w:szCs w:val="24"/>
        </w:rPr>
      </w:pPr>
      <w:r>
        <w:rPr>
          <w:rFonts w:hint="eastAsia" w:ascii="宋体" w:hAnsi="宋体"/>
          <w:sz w:val="24"/>
          <w:szCs w:val="24"/>
          <w:lang w:val="en-US" w:eastAsia="zh-CN"/>
        </w:rPr>
        <w:t>3.</w:t>
      </w:r>
      <w:r>
        <w:rPr>
          <w:rFonts w:hint="eastAsia" w:ascii="宋体" w:hAnsi="宋体"/>
          <w:sz w:val="24"/>
          <w:szCs w:val="24"/>
        </w:rPr>
        <w:t xml:space="preserve">内部审核和管理评审的情况： </w:t>
      </w:r>
    </w:p>
    <w:p>
      <w:pPr>
        <w:widowControl/>
        <w:numPr>
          <w:ilvl w:val="0"/>
          <w:numId w:val="0"/>
        </w:numPr>
        <w:spacing w:line="360" w:lineRule="auto"/>
        <w:ind w:leftChars="0"/>
        <w:rPr>
          <w:rFonts w:ascii="宋体" w:hAnsi="宋体"/>
          <w:sz w:val="24"/>
          <w:szCs w:val="24"/>
        </w:rPr>
      </w:pPr>
      <w:r>
        <w:rPr>
          <w:rFonts w:hint="eastAsia" w:cs="宋体" w:asciiTheme="minorEastAsia" w:hAnsiTheme="minorEastAsia"/>
          <w:bCs/>
          <w:kern w:val="0"/>
          <w:sz w:val="24"/>
          <w:szCs w:val="24"/>
        </w:rPr>
        <w:t>3.1</w:t>
      </w:r>
      <w:r>
        <w:rPr>
          <w:rFonts w:hint="eastAsia" w:ascii="宋体" w:hAnsi="宋体"/>
          <w:sz w:val="24"/>
          <w:szCs w:val="24"/>
        </w:rPr>
        <w:t>公司的测量体系内审：</w:t>
      </w:r>
    </w:p>
    <w:p>
      <w:pPr>
        <w:widowControl/>
        <w:spacing w:line="360" w:lineRule="auto"/>
        <w:ind w:firstLine="480"/>
        <w:rPr>
          <w:rStyle w:val="10"/>
          <w:rFonts w:hint="eastAsia" w:ascii="宋体" w:eastAsia="宋体"/>
          <w:sz w:val="24"/>
          <w:szCs w:val="24"/>
          <w:lang w:val="en-US" w:eastAsia="zh-CN"/>
        </w:rPr>
      </w:pPr>
      <w:r>
        <w:rPr>
          <w:rFonts w:hint="eastAsia" w:cs="宋体" w:asciiTheme="minorEastAsia" w:hAnsiTheme="minorEastAsia"/>
          <w:bCs/>
          <w:kern w:val="0"/>
          <w:sz w:val="24"/>
          <w:szCs w:val="24"/>
        </w:rPr>
        <w:t>为了充分验证公司测量管理体系运行的符合性、有效性及持续改进，根据公司20</w:t>
      </w:r>
      <w:r>
        <w:rPr>
          <w:rFonts w:hint="eastAsia" w:cs="宋体" w:asciiTheme="minorEastAsia" w:hAnsiTheme="minorEastAsia"/>
          <w:bCs/>
          <w:kern w:val="0"/>
          <w:sz w:val="24"/>
          <w:szCs w:val="24"/>
          <w:lang w:val="en-US" w:eastAsia="zh-CN"/>
        </w:rPr>
        <w:t>19</w:t>
      </w:r>
      <w:r>
        <w:rPr>
          <w:rFonts w:hint="eastAsia" w:cs="宋体" w:asciiTheme="minorEastAsia" w:hAnsiTheme="minorEastAsia"/>
          <w:bCs/>
          <w:kern w:val="0"/>
          <w:sz w:val="24"/>
          <w:szCs w:val="24"/>
        </w:rPr>
        <w:t>年度工作计划，于20</w:t>
      </w:r>
      <w:r>
        <w:rPr>
          <w:rFonts w:hint="eastAsia" w:cs="宋体" w:asciiTheme="minorEastAsia" w:hAnsiTheme="minorEastAsia"/>
          <w:bCs/>
          <w:kern w:val="0"/>
          <w:sz w:val="24"/>
          <w:szCs w:val="24"/>
          <w:lang w:val="en-US" w:eastAsia="zh-CN"/>
        </w:rPr>
        <w:t>20</w:t>
      </w:r>
      <w:r>
        <w:rPr>
          <w:rFonts w:hint="eastAsia" w:cs="宋体" w:asciiTheme="minorEastAsia" w:hAnsiTheme="minorEastAsia"/>
          <w:bCs/>
          <w:kern w:val="0"/>
          <w:sz w:val="24"/>
          <w:szCs w:val="24"/>
        </w:rPr>
        <w:t>年</w:t>
      </w:r>
      <w:r>
        <w:rPr>
          <w:rFonts w:hint="eastAsia" w:cs="宋体" w:asciiTheme="minorEastAsia" w:hAnsiTheme="minorEastAsia"/>
          <w:bCs/>
          <w:kern w:val="0"/>
          <w:sz w:val="24"/>
          <w:szCs w:val="24"/>
          <w:lang w:val="en-US" w:eastAsia="zh-CN"/>
        </w:rPr>
        <w:t>1</w:t>
      </w:r>
      <w:r>
        <w:rPr>
          <w:rFonts w:hint="eastAsia" w:cs="宋体" w:asciiTheme="minorEastAsia" w:hAnsiTheme="minorEastAsia"/>
          <w:bCs/>
          <w:kern w:val="0"/>
          <w:sz w:val="24"/>
          <w:szCs w:val="24"/>
        </w:rPr>
        <w:t>月</w:t>
      </w:r>
      <w:r>
        <w:rPr>
          <w:rFonts w:hint="eastAsia" w:cs="宋体" w:asciiTheme="minorEastAsia" w:hAnsiTheme="minorEastAsia"/>
          <w:bCs/>
          <w:kern w:val="0"/>
          <w:sz w:val="24"/>
          <w:szCs w:val="24"/>
          <w:lang w:val="en-US" w:eastAsia="zh-CN"/>
        </w:rPr>
        <w:t>6</w:t>
      </w:r>
      <w:r>
        <w:rPr>
          <w:rFonts w:cs="宋体" w:asciiTheme="minorEastAsia" w:hAnsiTheme="minorEastAsia"/>
          <w:bCs/>
          <w:kern w:val="0"/>
          <w:sz w:val="24"/>
          <w:szCs w:val="24"/>
        </w:rPr>
        <w:t>日</w:t>
      </w:r>
      <w:r>
        <w:rPr>
          <w:rFonts w:hint="eastAsia" w:cs="宋体" w:asciiTheme="minorEastAsia" w:hAnsiTheme="minorEastAsia"/>
          <w:bCs/>
          <w:kern w:val="0"/>
          <w:sz w:val="24"/>
          <w:szCs w:val="24"/>
        </w:rPr>
        <w:t>，公司进行了年度测量管理体系</w:t>
      </w:r>
      <w:r>
        <w:rPr>
          <w:rFonts w:hint="eastAsia" w:asciiTheme="minorEastAsia" w:hAnsiTheme="minorEastAsia"/>
          <w:bCs/>
          <w:sz w:val="24"/>
          <w:szCs w:val="24"/>
        </w:rPr>
        <w:t>内部审核工作</w:t>
      </w:r>
      <w:r>
        <w:rPr>
          <w:rFonts w:hint="eastAsia"/>
          <w:sz w:val="24"/>
          <w:szCs w:val="24"/>
        </w:rPr>
        <w:t>。</w:t>
      </w:r>
      <w:r>
        <w:rPr>
          <w:rStyle w:val="10"/>
          <w:rFonts w:hint="eastAsia" w:ascii="宋体" w:eastAsia="宋体"/>
          <w:sz w:val="24"/>
          <w:szCs w:val="24"/>
        </w:rPr>
        <w:t>按GB/T 19022-2003标准的要素要求，审核共涉及了</w:t>
      </w:r>
      <w:r>
        <w:rPr>
          <w:rStyle w:val="10"/>
          <w:rFonts w:hint="eastAsia" w:ascii="宋体" w:eastAsia="宋体"/>
          <w:sz w:val="24"/>
          <w:szCs w:val="24"/>
          <w:lang w:val="en-US" w:eastAsia="zh-CN"/>
        </w:rPr>
        <w:t>5</w:t>
      </w:r>
      <w:r>
        <w:rPr>
          <w:rStyle w:val="10"/>
          <w:rFonts w:hint="eastAsia" w:ascii="宋体" w:eastAsia="宋体"/>
          <w:sz w:val="24"/>
          <w:szCs w:val="24"/>
        </w:rPr>
        <w:t>个职能部门和</w:t>
      </w:r>
      <w:r>
        <w:rPr>
          <w:rStyle w:val="10"/>
          <w:rFonts w:hint="eastAsia" w:ascii="宋体" w:eastAsia="宋体"/>
          <w:sz w:val="24"/>
          <w:szCs w:val="24"/>
          <w:lang w:val="en-US" w:eastAsia="zh-CN"/>
        </w:rPr>
        <w:t>2</w:t>
      </w:r>
      <w:r>
        <w:rPr>
          <w:rStyle w:val="10"/>
          <w:rFonts w:hint="eastAsia" w:ascii="宋体" w:eastAsia="宋体"/>
          <w:sz w:val="24"/>
          <w:szCs w:val="24"/>
        </w:rPr>
        <w:t>个生产作业单位。</w:t>
      </w:r>
      <w:r>
        <w:rPr>
          <w:rFonts w:hint="eastAsia"/>
          <w:sz w:val="24"/>
          <w:szCs w:val="24"/>
        </w:rPr>
        <w:t>审核共开具</w:t>
      </w:r>
      <w:r>
        <w:rPr>
          <w:rStyle w:val="10"/>
          <w:rFonts w:hint="eastAsia" w:ascii="宋体" w:eastAsia="宋体"/>
          <w:sz w:val="24"/>
          <w:szCs w:val="24"/>
        </w:rPr>
        <w:t xml:space="preserve">次要不符合项 </w:t>
      </w:r>
      <w:r>
        <w:rPr>
          <w:rStyle w:val="10"/>
          <w:rFonts w:hint="eastAsia" w:ascii="宋体" w:eastAsia="宋体"/>
          <w:sz w:val="24"/>
          <w:szCs w:val="24"/>
          <w:lang w:val="en-US" w:eastAsia="zh-CN"/>
        </w:rPr>
        <w:t>1</w:t>
      </w:r>
      <w:r>
        <w:rPr>
          <w:rStyle w:val="10"/>
          <w:rFonts w:hint="eastAsia" w:ascii="宋体" w:eastAsia="宋体"/>
          <w:sz w:val="24"/>
          <w:szCs w:val="24"/>
        </w:rPr>
        <w:t>项,对内审发现的问题，制定了有效的纠正措施</w:t>
      </w:r>
      <w:r>
        <w:rPr>
          <w:rStyle w:val="10"/>
          <w:rFonts w:hint="eastAsia" w:ascii="宋体" w:eastAsia="宋体"/>
          <w:sz w:val="24"/>
          <w:szCs w:val="24"/>
          <w:lang w:eastAsia="zh-CN"/>
        </w:rPr>
        <w:t>并</w:t>
      </w:r>
      <w:r>
        <w:rPr>
          <w:rStyle w:val="10"/>
          <w:rFonts w:hint="eastAsia" w:ascii="宋体" w:eastAsia="宋体"/>
          <w:sz w:val="24"/>
          <w:szCs w:val="24"/>
        </w:rPr>
        <w:t>及时整改</w:t>
      </w:r>
      <w:r>
        <w:rPr>
          <w:rStyle w:val="10"/>
          <w:rFonts w:hint="eastAsia" w:ascii="宋体" w:eastAsia="宋体"/>
          <w:sz w:val="24"/>
          <w:szCs w:val="24"/>
          <w:lang w:val="en-US" w:eastAsia="zh-CN"/>
        </w:rPr>
        <w:t>.</w:t>
      </w:r>
    </w:p>
    <w:p>
      <w:pPr>
        <w:widowControl/>
        <w:spacing w:line="360" w:lineRule="auto"/>
        <w:rPr>
          <w:rFonts w:ascii="宋体" w:hAnsi="宋体"/>
          <w:sz w:val="24"/>
          <w:szCs w:val="24"/>
        </w:rPr>
      </w:pPr>
      <w:r>
        <w:rPr>
          <w:rStyle w:val="10"/>
          <w:rFonts w:hint="eastAsia" w:ascii="宋体" w:eastAsia="宋体"/>
          <w:sz w:val="24"/>
          <w:szCs w:val="24"/>
        </w:rPr>
        <w:t xml:space="preserve"> </w:t>
      </w:r>
      <w:r>
        <w:rPr>
          <w:rFonts w:hint="eastAsia" w:ascii="宋体" w:hAnsi="宋体"/>
          <w:sz w:val="24"/>
          <w:szCs w:val="24"/>
        </w:rPr>
        <w:t>3.2、公司的测量体系管理评审：</w:t>
      </w:r>
    </w:p>
    <w:p>
      <w:pPr>
        <w:snapToGrid w:val="0"/>
        <w:spacing w:line="360" w:lineRule="auto"/>
        <w:ind w:firstLine="720" w:firstLineChars="300"/>
        <w:rPr>
          <w:rFonts w:hint="eastAsia" w:ascii="宋体" w:hAnsi="宋体" w:cs="黑体"/>
          <w:sz w:val="24"/>
          <w:szCs w:val="24"/>
        </w:rPr>
      </w:pPr>
      <w:r>
        <w:rPr>
          <w:rFonts w:hint="eastAsia" w:asciiTheme="minorEastAsia" w:hAnsiTheme="minorEastAsia"/>
          <w:bCs/>
          <w:sz w:val="24"/>
          <w:szCs w:val="24"/>
          <w:lang w:val="en-US" w:eastAsia="zh-CN"/>
        </w:rPr>
        <w:t>公司于</w:t>
      </w:r>
      <w:r>
        <w:rPr>
          <w:rFonts w:hint="eastAsia" w:cs="宋体" w:asciiTheme="minorEastAsia" w:hAnsiTheme="minorEastAsia"/>
          <w:bCs/>
          <w:kern w:val="0"/>
          <w:sz w:val="24"/>
          <w:szCs w:val="24"/>
        </w:rPr>
        <w:t>20</w:t>
      </w:r>
      <w:r>
        <w:rPr>
          <w:rFonts w:hint="eastAsia" w:cs="宋体" w:asciiTheme="minorEastAsia" w:hAnsiTheme="minorEastAsia"/>
          <w:bCs/>
          <w:kern w:val="0"/>
          <w:sz w:val="24"/>
          <w:szCs w:val="24"/>
          <w:lang w:val="en-US" w:eastAsia="zh-CN"/>
        </w:rPr>
        <w:t>20</w:t>
      </w:r>
      <w:r>
        <w:rPr>
          <w:rFonts w:hint="eastAsia" w:cs="宋体" w:asciiTheme="minorEastAsia" w:hAnsiTheme="minorEastAsia"/>
          <w:bCs/>
          <w:kern w:val="0"/>
          <w:sz w:val="24"/>
          <w:szCs w:val="24"/>
        </w:rPr>
        <w:t>年</w:t>
      </w:r>
      <w:r>
        <w:rPr>
          <w:rFonts w:hint="eastAsia" w:cs="宋体" w:asciiTheme="minorEastAsia" w:hAnsiTheme="minorEastAsia"/>
          <w:bCs/>
          <w:kern w:val="0"/>
          <w:sz w:val="24"/>
          <w:szCs w:val="24"/>
          <w:lang w:val="en-US" w:eastAsia="zh-CN"/>
        </w:rPr>
        <w:t>1</w:t>
      </w:r>
      <w:r>
        <w:rPr>
          <w:rFonts w:hint="eastAsia" w:cs="宋体" w:asciiTheme="minorEastAsia" w:hAnsiTheme="minorEastAsia"/>
          <w:bCs/>
          <w:kern w:val="0"/>
          <w:sz w:val="24"/>
          <w:szCs w:val="24"/>
        </w:rPr>
        <w:t>月</w:t>
      </w:r>
      <w:r>
        <w:rPr>
          <w:rFonts w:hint="eastAsia" w:cs="宋体" w:asciiTheme="minorEastAsia" w:hAnsiTheme="minorEastAsia"/>
          <w:bCs/>
          <w:kern w:val="0"/>
          <w:sz w:val="24"/>
          <w:szCs w:val="24"/>
          <w:lang w:val="en-US" w:eastAsia="zh-CN"/>
        </w:rPr>
        <w:t>12</w:t>
      </w:r>
      <w:r>
        <w:rPr>
          <w:rFonts w:cs="宋体" w:asciiTheme="minorEastAsia" w:hAnsiTheme="minorEastAsia"/>
          <w:bCs/>
          <w:kern w:val="0"/>
          <w:sz w:val="24"/>
          <w:szCs w:val="24"/>
        </w:rPr>
        <w:t>日</w:t>
      </w:r>
      <w:r>
        <w:rPr>
          <w:rFonts w:hint="eastAsia" w:cs="宋体" w:asciiTheme="minorEastAsia" w:hAnsiTheme="minorEastAsia"/>
          <w:bCs/>
          <w:kern w:val="0"/>
          <w:sz w:val="24"/>
          <w:szCs w:val="24"/>
          <w:lang w:val="en-US" w:eastAsia="zh-CN"/>
        </w:rPr>
        <w:t>进行了管理评审，</w:t>
      </w:r>
      <w:r>
        <w:rPr>
          <w:rFonts w:hint="eastAsia" w:ascii="宋体" w:hAnsi="宋体" w:cs="黑体"/>
          <w:sz w:val="24"/>
          <w:szCs w:val="24"/>
        </w:rPr>
        <w:t>会议</w:t>
      </w:r>
      <w:r>
        <w:rPr>
          <w:rFonts w:ascii="宋体" w:hAnsi="宋体" w:cs="黑体"/>
          <w:sz w:val="24"/>
          <w:szCs w:val="24"/>
        </w:rPr>
        <w:t>由</w:t>
      </w:r>
      <w:r>
        <w:rPr>
          <w:rFonts w:hint="eastAsia" w:ascii="宋体" w:hAnsi="宋体" w:cs="黑体"/>
          <w:sz w:val="24"/>
          <w:szCs w:val="24"/>
        </w:rPr>
        <w:t>公司</w:t>
      </w:r>
      <w:r>
        <w:rPr>
          <w:rFonts w:hint="eastAsia" w:ascii="宋体" w:hAnsi="宋体" w:cs="黑体"/>
          <w:sz w:val="24"/>
          <w:szCs w:val="24"/>
          <w:lang w:val="en-US" w:eastAsia="zh-CN"/>
        </w:rPr>
        <w:t>管理者代表</w:t>
      </w:r>
      <w:r>
        <w:rPr>
          <w:rFonts w:hint="eastAsia" w:ascii="宋体" w:hAnsi="宋体" w:cs="黑体"/>
          <w:sz w:val="24"/>
          <w:szCs w:val="24"/>
          <w:shd w:val="clear" w:color="FFFFFF" w:fill="D9D9D9"/>
          <w:lang w:val="en-US" w:eastAsia="zh-CN"/>
        </w:rPr>
        <w:t>王云峰</w:t>
      </w:r>
      <w:r>
        <w:rPr>
          <w:rFonts w:hint="eastAsia" w:ascii="宋体" w:hAnsi="宋体" w:cs="黑体"/>
          <w:sz w:val="24"/>
          <w:szCs w:val="24"/>
        </w:rPr>
        <w:t>主持</w:t>
      </w:r>
      <w:r>
        <w:rPr>
          <w:rFonts w:hint="eastAsia" w:ascii="宋体" w:hAnsi="宋体" w:cs="黑体"/>
          <w:sz w:val="24"/>
          <w:szCs w:val="24"/>
          <w:lang w:val="en-US" w:eastAsia="zh-CN"/>
        </w:rPr>
        <w:t>并</w:t>
      </w:r>
      <w:r>
        <w:rPr>
          <w:rFonts w:ascii="宋体" w:hAnsi="宋体" w:cs="黑体"/>
          <w:sz w:val="24"/>
          <w:szCs w:val="24"/>
        </w:rPr>
        <w:t>汇报了体系运行情况。</w:t>
      </w:r>
      <w:r>
        <w:rPr>
          <w:rFonts w:hint="eastAsia" w:ascii="宋体" w:hAnsi="宋体" w:cs="黑体"/>
          <w:sz w:val="24"/>
          <w:szCs w:val="24"/>
        </w:rPr>
        <w:t>会议肯定</w:t>
      </w:r>
      <w:r>
        <w:rPr>
          <w:rFonts w:ascii="宋体" w:hAnsi="宋体" w:cs="黑体"/>
          <w:sz w:val="24"/>
          <w:szCs w:val="24"/>
        </w:rPr>
        <w:t>了公司测量管理体系的充分</w:t>
      </w:r>
      <w:r>
        <w:rPr>
          <w:rFonts w:hint="eastAsia" w:ascii="宋体" w:hAnsi="宋体" w:cs="黑体"/>
          <w:sz w:val="24"/>
          <w:szCs w:val="24"/>
        </w:rPr>
        <w:t>性</w:t>
      </w:r>
      <w:r>
        <w:rPr>
          <w:rFonts w:ascii="宋体" w:hAnsi="宋体" w:cs="黑体"/>
          <w:sz w:val="24"/>
          <w:szCs w:val="24"/>
        </w:rPr>
        <w:t>、有效性和适宜性</w:t>
      </w:r>
      <w:r>
        <w:rPr>
          <w:rFonts w:hint="eastAsia" w:ascii="宋体" w:hAnsi="宋体" w:cs="黑体"/>
          <w:sz w:val="24"/>
          <w:szCs w:val="24"/>
        </w:rPr>
        <w:t>。形成</w:t>
      </w:r>
      <w:r>
        <w:rPr>
          <w:rFonts w:ascii="宋体" w:hAnsi="宋体" w:cs="黑体"/>
          <w:sz w:val="24"/>
          <w:szCs w:val="24"/>
        </w:rPr>
        <w:t>了管理评审报告</w:t>
      </w:r>
      <w:r>
        <w:rPr>
          <w:rFonts w:hint="eastAsia" w:ascii="宋体" w:hAnsi="宋体" w:cs="黑体"/>
          <w:sz w:val="24"/>
          <w:szCs w:val="24"/>
        </w:rPr>
        <w:t>，对公司测量体系目前存在的问题落实了整改部门。</w:t>
      </w:r>
    </w:p>
    <w:p>
      <w:pPr>
        <w:snapToGrid w:val="0"/>
        <w:spacing w:line="360" w:lineRule="auto"/>
        <w:ind w:right="-512" w:rightChars="-244"/>
        <w:rPr>
          <w:rFonts w:hint="eastAsia" w:eastAsiaTheme="minorEastAsia"/>
          <w:sz w:val="24"/>
          <w:szCs w:val="24"/>
          <w:shd w:val="clear" w:color="auto" w:fill="auto"/>
          <w:lang w:eastAsia="zh-CN"/>
        </w:rPr>
      </w:pPr>
      <w:r>
        <w:rPr>
          <w:rFonts w:hint="eastAsia" w:asciiTheme="minorEastAsia" w:hAnsiTheme="minorEastAsia"/>
          <w:bCs/>
          <w:szCs w:val="21"/>
        </w:rPr>
        <w:t>4.为</w:t>
      </w:r>
      <w:r>
        <w:rPr>
          <w:rFonts w:hint="eastAsia"/>
          <w:sz w:val="24"/>
          <w:szCs w:val="24"/>
          <w:lang w:val="en-US" w:eastAsia="zh-CN"/>
        </w:rPr>
        <w:t>持续改进而策划的活动的进展 ，包括：企业对已识别的抽油杆心部硬度检测测量过程，按测量过程控制规范，进行了有效性监视。记录、监视控制图齐全，完整；</w:t>
      </w:r>
      <w:r>
        <w:rPr>
          <w:rFonts w:hint="eastAsia" w:ascii="宋体" w:hAnsi="宋体" w:cs="黑体"/>
          <w:sz w:val="24"/>
          <w:szCs w:val="24"/>
          <w:shd w:val="clear" w:color="auto" w:fill="auto"/>
        </w:rPr>
        <w:t>现场重点抽查了</w:t>
      </w:r>
      <w:r>
        <w:rPr>
          <w:rFonts w:hint="eastAsia" w:ascii="宋体" w:hAnsi="宋体" w:cs="黑体"/>
          <w:sz w:val="24"/>
          <w:szCs w:val="24"/>
          <w:shd w:val="clear" w:color="auto" w:fill="auto"/>
          <w:lang w:val="en-US" w:eastAsia="zh-CN"/>
        </w:rPr>
        <w:t>抽油杆心部硬度检测</w:t>
      </w:r>
      <w:r>
        <w:rPr>
          <w:rFonts w:hint="eastAsia" w:ascii="宋体" w:hAnsi="宋体" w:cs="黑体"/>
          <w:sz w:val="24"/>
          <w:szCs w:val="24"/>
          <w:shd w:val="clear" w:color="auto" w:fill="auto"/>
        </w:rPr>
        <w:t>测量不确定度评定方法正确。详见附件《不确定度评定报告》等不确定度评定报告</w:t>
      </w:r>
      <w:r>
        <w:rPr>
          <w:rFonts w:hint="eastAsia" w:ascii="宋体" w:hAnsi="宋体" w:cs="黑体"/>
          <w:sz w:val="24"/>
          <w:szCs w:val="24"/>
          <w:shd w:val="clear" w:color="auto" w:fill="auto"/>
          <w:lang w:eastAsia="zh-CN"/>
        </w:rPr>
        <w:t>。</w:t>
      </w:r>
    </w:p>
    <w:p>
      <w:pPr>
        <w:widowControl/>
        <w:spacing w:line="360" w:lineRule="auto"/>
        <w:rPr>
          <w:rFonts w:hint="eastAsia" w:asciiTheme="minorEastAsia" w:hAnsiTheme="minorEastAsia"/>
          <w:bCs/>
          <w:sz w:val="24"/>
          <w:szCs w:val="24"/>
        </w:rPr>
      </w:pPr>
      <w:r>
        <w:rPr>
          <w:rFonts w:hint="eastAsia" w:asciiTheme="minorEastAsia" w:hAnsiTheme="minorEastAsia"/>
          <w:bCs/>
          <w:sz w:val="24"/>
          <w:szCs w:val="24"/>
        </w:rPr>
        <w:t>5.对认证审核时提出的的不符合项的纠正措施情况有表述：</w:t>
      </w:r>
    </w:p>
    <w:p>
      <w:pPr>
        <w:widowControl/>
        <w:spacing w:line="360" w:lineRule="auto"/>
        <w:ind w:firstLine="480" w:firstLineChars="200"/>
        <w:rPr>
          <w:rFonts w:hint="default" w:cs="宋体" w:asciiTheme="minorEastAsia" w:hAnsiTheme="minorEastAsia" w:eastAsiaTheme="minorEastAsia"/>
          <w:bCs/>
          <w:color w:val="000000" w:themeColor="text1"/>
          <w:kern w:val="0"/>
          <w:sz w:val="24"/>
          <w:szCs w:val="24"/>
          <w:lang w:val="en-US" w:eastAsia="zh-CN"/>
        </w:rPr>
      </w:pPr>
      <w:r>
        <w:rPr>
          <w:rFonts w:hint="eastAsia" w:asciiTheme="minorEastAsia" w:hAnsiTheme="minorEastAsia"/>
          <w:bCs/>
          <w:sz w:val="24"/>
          <w:szCs w:val="24"/>
        </w:rPr>
        <w:t>公司</w:t>
      </w:r>
      <w:r>
        <w:rPr>
          <w:rFonts w:hint="eastAsia" w:asciiTheme="minorEastAsia" w:hAnsiTheme="minorEastAsia"/>
          <w:bCs/>
          <w:sz w:val="24"/>
          <w:szCs w:val="24"/>
          <w:lang w:val="en-US" w:eastAsia="zh-CN"/>
        </w:rPr>
        <w:t>2018年初审核</w:t>
      </w:r>
      <w:r>
        <w:rPr>
          <w:rFonts w:hint="eastAsia" w:asciiTheme="minorEastAsia" w:hAnsiTheme="minorEastAsia"/>
          <w:bCs/>
          <w:sz w:val="24"/>
          <w:szCs w:val="24"/>
        </w:rPr>
        <w:t>确定的</w:t>
      </w:r>
      <w:r>
        <w:rPr>
          <w:rFonts w:hint="eastAsia" w:asciiTheme="minorEastAsia" w:hAnsiTheme="minorEastAsia"/>
          <w:bCs/>
          <w:sz w:val="24"/>
          <w:szCs w:val="24"/>
          <w:lang w:val="en-US" w:eastAsia="zh-CN"/>
        </w:rPr>
        <w:t>2</w:t>
      </w:r>
      <w:r>
        <w:rPr>
          <w:rFonts w:hint="eastAsia" w:asciiTheme="minorEastAsia" w:hAnsiTheme="minorEastAsia"/>
          <w:bCs/>
          <w:sz w:val="24"/>
          <w:szCs w:val="24"/>
        </w:rPr>
        <w:t>个不符合项，</w:t>
      </w:r>
      <w:r>
        <w:rPr>
          <w:rFonts w:hint="eastAsia" w:asciiTheme="minorEastAsia" w:hAnsiTheme="minorEastAsia"/>
          <w:bCs/>
          <w:sz w:val="24"/>
          <w:szCs w:val="24"/>
          <w:lang w:val="en-US" w:eastAsia="zh-CN"/>
        </w:rPr>
        <w:t>审核后</w:t>
      </w:r>
      <w:r>
        <w:rPr>
          <w:rFonts w:hint="eastAsia" w:asciiTheme="minorEastAsia" w:hAnsiTheme="minorEastAsia"/>
          <w:bCs/>
          <w:sz w:val="24"/>
          <w:szCs w:val="24"/>
        </w:rPr>
        <w:t>及时制定整改计划，</w:t>
      </w:r>
      <w:r>
        <w:rPr>
          <w:rFonts w:hint="eastAsia" w:asciiTheme="minorEastAsia" w:hAnsiTheme="minorEastAsia"/>
          <w:bCs/>
          <w:sz w:val="24"/>
          <w:szCs w:val="24"/>
          <w:shd w:val="clear" w:color="auto" w:fill="auto"/>
        </w:rPr>
        <w:t>采取了</w:t>
      </w:r>
      <w:r>
        <w:rPr>
          <w:rFonts w:hint="eastAsia" w:ascii="宋体" w:hAnsi="宋体" w:cs="宋体"/>
          <w:kern w:val="0"/>
          <w:sz w:val="24"/>
          <w:szCs w:val="24"/>
          <w:shd w:val="clear" w:color="auto" w:fill="auto"/>
        </w:rPr>
        <w:t>纠正措施</w:t>
      </w:r>
      <w:r>
        <w:rPr>
          <w:rFonts w:hint="eastAsia" w:ascii="宋体" w:hAnsi="宋体" w:cs="宋体"/>
          <w:kern w:val="0"/>
          <w:sz w:val="24"/>
          <w:szCs w:val="24"/>
          <w:shd w:val="clear" w:color="auto" w:fill="auto"/>
          <w:lang w:val="en-US" w:eastAsia="zh-CN"/>
        </w:rPr>
        <w:t>，上一年度审核时已完成整改</w:t>
      </w:r>
      <w:r>
        <w:rPr>
          <w:rFonts w:hint="eastAsia" w:ascii="宋体" w:cs="宋体"/>
          <w:color w:val="000000" w:themeColor="text1"/>
          <w:kern w:val="0"/>
          <w:sz w:val="24"/>
          <w:szCs w:val="24"/>
          <w:shd w:val="clear" w:color="auto" w:fill="auto"/>
          <w:lang w:val="en-US" w:eastAsia="zh-CN"/>
        </w:rPr>
        <w:t>。</w:t>
      </w:r>
      <w:r>
        <w:rPr>
          <w:rFonts w:hint="eastAsia" w:ascii="宋体" w:hAnsi="宋体"/>
          <w:color w:val="000000" w:themeColor="text1"/>
          <w:sz w:val="24"/>
          <w:szCs w:val="24"/>
          <w:shd w:val="clear" w:color="auto" w:fill="auto"/>
        </w:rPr>
        <w:t>经审核组本次现场审核，通过对纠正措施工作的实施、完成情况跟踪及有效性进行现场查验，确认公司</w:t>
      </w:r>
      <w:r>
        <w:rPr>
          <w:rFonts w:hint="eastAsia" w:asciiTheme="minorEastAsia" w:hAnsiTheme="minorEastAsia"/>
          <w:bCs/>
          <w:sz w:val="24"/>
          <w:szCs w:val="24"/>
          <w:shd w:val="clear" w:color="auto" w:fill="auto"/>
          <w:lang w:val="en-US" w:eastAsia="zh-CN"/>
        </w:rPr>
        <w:t>上年审核</w:t>
      </w:r>
      <w:r>
        <w:rPr>
          <w:rFonts w:hint="eastAsia" w:asciiTheme="minorEastAsia" w:hAnsiTheme="minorEastAsia"/>
          <w:bCs/>
          <w:sz w:val="24"/>
          <w:szCs w:val="24"/>
          <w:shd w:val="clear" w:color="auto" w:fill="auto"/>
        </w:rPr>
        <w:t>确定的</w:t>
      </w:r>
      <w:r>
        <w:rPr>
          <w:rFonts w:hint="eastAsia" w:asciiTheme="minorEastAsia" w:hAnsiTheme="minorEastAsia"/>
          <w:bCs/>
          <w:sz w:val="24"/>
          <w:szCs w:val="24"/>
          <w:shd w:val="clear" w:color="auto" w:fill="auto"/>
          <w:lang w:val="en-US" w:eastAsia="zh-CN"/>
        </w:rPr>
        <w:t>2</w:t>
      </w:r>
      <w:r>
        <w:rPr>
          <w:rFonts w:hint="eastAsia" w:asciiTheme="minorEastAsia" w:hAnsiTheme="minorEastAsia"/>
          <w:bCs/>
          <w:sz w:val="24"/>
          <w:szCs w:val="24"/>
          <w:shd w:val="clear" w:color="auto" w:fill="auto"/>
        </w:rPr>
        <w:t>个不符合项，所</w:t>
      </w:r>
      <w:r>
        <w:rPr>
          <w:rFonts w:hint="eastAsia" w:asciiTheme="minorEastAsia" w:hAnsiTheme="minorEastAsia"/>
          <w:bCs/>
          <w:color w:val="000000" w:themeColor="text1"/>
          <w:sz w:val="24"/>
          <w:szCs w:val="24"/>
          <w:shd w:val="clear" w:color="auto" w:fill="auto"/>
        </w:rPr>
        <w:t>采取的</w:t>
      </w:r>
      <w:r>
        <w:rPr>
          <w:rFonts w:hint="eastAsia" w:ascii="宋体" w:hAnsi="宋体" w:cs="宋体"/>
          <w:color w:val="000000" w:themeColor="text1"/>
          <w:kern w:val="0"/>
          <w:sz w:val="24"/>
          <w:szCs w:val="24"/>
          <w:shd w:val="clear" w:color="auto" w:fill="auto"/>
        </w:rPr>
        <w:t>纠正措施及时、正确，完成情况良好并持续有效</w:t>
      </w:r>
      <w:r>
        <w:rPr>
          <w:rFonts w:hint="eastAsia" w:ascii="宋体" w:cs="宋体"/>
          <w:color w:val="000000" w:themeColor="text1"/>
          <w:kern w:val="0"/>
          <w:sz w:val="24"/>
          <w:szCs w:val="24"/>
          <w:shd w:val="clear" w:color="auto" w:fill="auto"/>
          <w:lang w:val="en-US" w:eastAsia="zh-CN"/>
        </w:rPr>
        <w:t>。同</w:t>
      </w:r>
      <w:r>
        <w:rPr>
          <w:rFonts w:hint="eastAsia" w:ascii="宋体" w:cs="宋体"/>
          <w:color w:val="000000" w:themeColor="text1"/>
          <w:kern w:val="0"/>
          <w:sz w:val="24"/>
          <w:szCs w:val="24"/>
          <w:shd w:val="clear" w:color="auto" w:fill="auto"/>
        </w:rPr>
        <w:t>意关闭</w:t>
      </w:r>
      <w:r>
        <w:rPr>
          <w:rFonts w:hint="eastAsia" w:ascii="宋体" w:cs="宋体"/>
          <w:color w:val="000000" w:themeColor="text1"/>
          <w:kern w:val="0"/>
          <w:sz w:val="24"/>
          <w:szCs w:val="24"/>
          <w:shd w:val="clear" w:color="auto" w:fill="auto"/>
          <w:lang w:val="en-US" w:eastAsia="zh-CN"/>
        </w:rPr>
        <w:t>2</w:t>
      </w:r>
      <w:r>
        <w:rPr>
          <w:rFonts w:hint="eastAsia" w:ascii="宋体" w:cs="宋体"/>
          <w:color w:val="000000" w:themeColor="text1"/>
          <w:kern w:val="0"/>
          <w:sz w:val="24"/>
          <w:szCs w:val="24"/>
          <w:shd w:val="clear" w:color="auto" w:fill="auto"/>
        </w:rPr>
        <w:t>个不符合项。</w:t>
      </w:r>
      <w:r>
        <w:rPr>
          <w:rFonts w:hint="eastAsia" w:asciiTheme="minorEastAsia" w:hAnsiTheme="minorEastAsia"/>
          <w:bCs/>
          <w:sz w:val="24"/>
          <w:szCs w:val="24"/>
          <w:lang w:val="en-US" w:eastAsia="zh-CN"/>
        </w:rPr>
        <w:t>符合要求。</w:t>
      </w:r>
    </w:p>
    <w:p>
      <w:pPr>
        <w:widowControl/>
        <w:spacing w:line="276" w:lineRule="auto"/>
        <w:rPr>
          <w:rFonts w:cs="宋体" w:asciiTheme="minorEastAsia" w:hAnsiTheme="minorEastAsia"/>
          <w:kern w:val="0"/>
          <w:szCs w:val="21"/>
        </w:rPr>
      </w:pPr>
      <w:r>
        <w:rPr>
          <w:rFonts w:cs="宋体" w:asciiTheme="minorEastAsia" w:hAnsiTheme="minorEastAsia"/>
          <w:kern w:val="0"/>
          <w:szCs w:val="21"/>
        </w:rPr>
        <w:t> </w:t>
      </w:r>
    </w:p>
    <w:p>
      <w:pPr>
        <w:widowControl/>
        <w:numPr>
          <w:ilvl w:val="0"/>
          <w:numId w:val="2"/>
        </w:numPr>
        <w:spacing w:line="360" w:lineRule="auto"/>
        <w:rPr>
          <w:rFonts w:hint="eastAsia" w:ascii="宋体" w:hAnsi="宋体"/>
          <w:sz w:val="24"/>
          <w:szCs w:val="24"/>
        </w:rPr>
      </w:pPr>
      <w:r>
        <w:rPr>
          <w:rFonts w:hint="eastAsia" w:ascii="宋体" w:hAnsi="宋体"/>
          <w:sz w:val="24"/>
          <w:szCs w:val="24"/>
        </w:rPr>
        <w:t>对投诉的处理情况：</w:t>
      </w:r>
    </w:p>
    <w:p>
      <w:pPr>
        <w:widowControl/>
        <w:numPr>
          <w:ilvl w:val="0"/>
          <w:numId w:val="0"/>
        </w:numPr>
        <w:spacing w:line="360" w:lineRule="auto"/>
        <w:ind w:firstLine="480" w:firstLineChars="200"/>
        <w:rPr>
          <w:rFonts w:cs="宋体" w:asciiTheme="minorEastAsia" w:hAnsiTheme="minorEastAsia"/>
          <w:bCs/>
          <w:kern w:val="0"/>
          <w:sz w:val="24"/>
          <w:szCs w:val="24"/>
        </w:rPr>
      </w:pPr>
      <w:r>
        <w:rPr>
          <w:rFonts w:hint="eastAsia" w:ascii="宋体" w:hAnsi="宋体"/>
          <w:sz w:val="24"/>
          <w:szCs w:val="24"/>
        </w:rPr>
        <w:t>公司目前尚未接到客户在产品质量、物料交接、能源、安全、现场管理等方面的投诉和纠纷。</w:t>
      </w:r>
    </w:p>
    <w:p>
      <w:pPr>
        <w:widowControl/>
        <w:spacing w:line="276" w:lineRule="auto"/>
        <w:rPr>
          <w:rFonts w:asciiTheme="minorEastAsia" w:hAnsiTheme="minorEastAsia"/>
          <w:bCs/>
          <w:szCs w:val="21"/>
        </w:rPr>
      </w:pPr>
    </w:p>
    <w:p>
      <w:pPr>
        <w:widowControl/>
        <w:numPr>
          <w:ilvl w:val="0"/>
          <w:numId w:val="2"/>
        </w:numPr>
        <w:spacing w:line="360" w:lineRule="auto"/>
        <w:ind w:left="0" w:leftChars="0" w:firstLine="0" w:firstLineChars="0"/>
        <w:rPr>
          <w:rFonts w:cs="宋体" w:asciiTheme="minorEastAsia" w:hAnsiTheme="minorEastAsia"/>
          <w:bCs/>
          <w:kern w:val="0"/>
          <w:sz w:val="24"/>
          <w:szCs w:val="24"/>
        </w:rPr>
      </w:pPr>
      <w:r>
        <w:rPr>
          <w:rFonts w:hint="eastAsia" w:ascii="宋体" w:hAnsi="宋体"/>
          <w:bCs/>
          <w:sz w:val="24"/>
          <w:szCs w:val="24"/>
        </w:rPr>
        <w:t>测量管理体系在实现获证客户目标方面的有效性及持续的运作控制情况：</w:t>
      </w:r>
    </w:p>
    <w:p>
      <w:pPr>
        <w:widowControl/>
        <w:numPr>
          <w:ilvl w:val="0"/>
          <w:numId w:val="0"/>
        </w:numPr>
        <w:spacing w:line="360" w:lineRule="auto"/>
        <w:ind w:leftChars="0" w:firstLine="720" w:firstLineChars="300"/>
        <w:rPr>
          <w:rFonts w:cs="宋体" w:asciiTheme="minorEastAsia" w:hAnsiTheme="minorEastAsia"/>
          <w:bCs/>
          <w:kern w:val="0"/>
          <w:sz w:val="24"/>
          <w:szCs w:val="24"/>
        </w:rPr>
      </w:pPr>
      <w:r>
        <w:rPr>
          <w:rFonts w:hint="eastAsia" w:ascii="宋体" w:hAnsi="宋体"/>
          <w:bCs/>
          <w:sz w:val="24"/>
          <w:szCs w:val="24"/>
        </w:rPr>
        <w:t>公司《计量工作质量目标管理程序》，规定了公司的计量方针及</w:t>
      </w:r>
      <w:r>
        <w:rPr>
          <w:rFonts w:hint="eastAsia" w:ascii="宋体" w:hAnsi="宋体"/>
          <w:bCs/>
          <w:sz w:val="24"/>
          <w:szCs w:val="24"/>
          <w:lang w:val="en-US" w:eastAsia="zh-CN"/>
        </w:rPr>
        <w:t>5</w:t>
      </w:r>
      <w:r>
        <w:rPr>
          <w:rFonts w:hint="eastAsia" w:ascii="宋体" w:hAnsi="宋体"/>
          <w:bCs/>
          <w:sz w:val="24"/>
          <w:szCs w:val="24"/>
        </w:rPr>
        <w:t>项质量目标 ，是</w:t>
      </w:r>
      <w:r>
        <w:rPr>
          <w:rFonts w:hint="eastAsia" w:asciiTheme="minorEastAsia" w:hAnsiTheme="minorEastAsia"/>
          <w:bCs/>
          <w:sz w:val="24"/>
          <w:szCs w:val="24"/>
        </w:rPr>
        <w:t>管理体系追求的承诺和准则，内容</w:t>
      </w:r>
      <w:r>
        <w:rPr>
          <w:rFonts w:hint="eastAsia" w:ascii="宋体" w:hAnsi="宋体"/>
          <w:bCs/>
          <w:sz w:val="24"/>
          <w:szCs w:val="24"/>
        </w:rPr>
        <w:t>基本覆盖标准要素。201</w:t>
      </w:r>
      <w:r>
        <w:rPr>
          <w:rFonts w:hint="eastAsia" w:ascii="宋体" w:hAnsi="宋体"/>
          <w:bCs/>
          <w:sz w:val="24"/>
          <w:szCs w:val="24"/>
          <w:lang w:val="en-US" w:eastAsia="zh-CN"/>
        </w:rPr>
        <w:t>9</w:t>
      </w:r>
      <w:r>
        <w:rPr>
          <w:rFonts w:hint="eastAsia" w:ascii="宋体" w:hAnsi="宋体"/>
          <w:bCs/>
          <w:sz w:val="24"/>
          <w:szCs w:val="24"/>
        </w:rPr>
        <w:t>年度，公司对质量目标进行</w:t>
      </w:r>
      <w:r>
        <w:rPr>
          <w:rFonts w:hint="eastAsia" w:ascii="宋体" w:hAnsi="宋体"/>
          <w:bCs/>
          <w:sz w:val="24"/>
          <w:szCs w:val="24"/>
          <w:lang w:val="en-US" w:eastAsia="zh-CN"/>
        </w:rPr>
        <w:t>分析改进</w:t>
      </w:r>
      <w:r>
        <w:rPr>
          <w:rFonts w:hint="eastAsia" w:ascii="宋体" w:hAnsi="宋体"/>
          <w:bCs/>
          <w:sz w:val="24"/>
          <w:szCs w:val="24"/>
        </w:rPr>
        <w:t>，</w:t>
      </w:r>
      <w:r>
        <w:rPr>
          <w:rFonts w:hint="eastAsia" w:ascii="宋体" w:hAnsi="宋体"/>
          <w:bCs/>
          <w:sz w:val="24"/>
          <w:szCs w:val="24"/>
          <w:lang w:val="en-US" w:eastAsia="zh-CN"/>
        </w:rPr>
        <w:t>完成情况较好</w:t>
      </w:r>
      <w:r>
        <w:rPr>
          <w:rFonts w:hint="eastAsia" w:ascii="宋体" w:hAnsi="宋体"/>
          <w:bCs/>
          <w:sz w:val="24"/>
          <w:szCs w:val="24"/>
        </w:rPr>
        <w:t>进一步</w:t>
      </w:r>
      <w:r>
        <w:rPr>
          <w:rFonts w:hint="eastAsia" w:ascii="宋体" w:hAnsi="宋体"/>
          <w:bCs/>
          <w:sz w:val="24"/>
          <w:szCs w:val="24"/>
          <w:lang w:val="en-US" w:eastAsia="zh-CN"/>
        </w:rPr>
        <w:t>满足</w:t>
      </w:r>
      <w:r>
        <w:rPr>
          <w:rFonts w:hint="eastAsia" w:ascii="宋体" w:hAnsi="宋体"/>
          <w:bCs/>
          <w:sz w:val="24"/>
          <w:szCs w:val="24"/>
        </w:rPr>
        <w:t>顾客、质量、服务等方面的要求，</w:t>
      </w:r>
      <w:r>
        <w:rPr>
          <w:rFonts w:hint="eastAsia" w:ascii="宋体" w:hAnsi="宋体"/>
          <w:color w:val="000000" w:themeColor="text1"/>
          <w:sz w:val="24"/>
          <w:szCs w:val="24"/>
        </w:rPr>
        <w:t>符合GB/T 19022-2003标准要求，</w:t>
      </w:r>
      <w:r>
        <w:rPr>
          <w:rFonts w:hint="eastAsia" w:ascii="宋体" w:hAnsi="宋体"/>
          <w:bCs/>
          <w:sz w:val="24"/>
          <w:szCs w:val="24"/>
        </w:rPr>
        <w:t>使其更具有动态性和适应性、</w:t>
      </w:r>
      <w:r>
        <w:rPr>
          <w:rFonts w:hint="eastAsia" w:asciiTheme="minorEastAsia" w:hAnsiTheme="minorEastAsia"/>
          <w:bCs/>
          <w:sz w:val="24"/>
          <w:szCs w:val="24"/>
        </w:rPr>
        <w:t>有效性及对持续运作的控制。</w:t>
      </w:r>
    </w:p>
    <w:p>
      <w:pPr>
        <w:snapToGrid w:val="0"/>
        <w:spacing w:line="360" w:lineRule="auto"/>
        <w:ind w:right="-512" w:rightChars="-244"/>
        <w:rPr>
          <w:rFonts w:hint="eastAsia" w:ascii="宋体" w:hAnsi="宋体"/>
          <w:sz w:val="24"/>
          <w:szCs w:val="24"/>
          <w:highlight w:val="none"/>
          <w:lang w:val="en-US" w:eastAsia="zh-CN"/>
        </w:rPr>
      </w:pPr>
    </w:p>
    <w:p>
      <w:pPr>
        <w:spacing w:line="360" w:lineRule="exact"/>
        <w:rPr>
          <w:rFonts w:hint="eastAsia" w:ascii="宋体" w:hAnsi="宋体"/>
          <w:sz w:val="24"/>
          <w:szCs w:val="24"/>
          <w:highlight w:val="none"/>
          <w:lang w:val="en-US" w:eastAsia="zh-CN"/>
        </w:rPr>
      </w:pPr>
      <w:r>
        <w:rPr>
          <w:rFonts w:hint="eastAsia" w:ascii="宋体" w:hAnsi="宋体"/>
          <w:sz w:val="24"/>
          <w:szCs w:val="24"/>
          <w:highlight w:val="none"/>
          <w:lang w:val="en-US" w:eastAsia="zh-CN"/>
        </w:rPr>
        <w:t>对企业组织任何变更的审核  无</w:t>
      </w:r>
    </w:p>
    <w:p>
      <w:pPr>
        <w:numPr>
          <w:ilvl w:val="0"/>
          <w:numId w:val="0"/>
        </w:numPr>
        <w:snapToGrid w:val="0"/>
        <w:spacing w:line="360" w:lineRule="auto"/>
        <w:ind w:leftChars="0" w:right="-512" w:rightChars="-244"/>
        <w:rPr>
          <w:rFonts w:hint="eastAsia" w:ascii="宋体" w:hAnsi="宋体"/>
          <w:sz w:val="24"/>
          <w:szCs w:val="24"/>
          <w:highlight w:val="none"/>
          <w:lang w:val="en-US" w:eastAsia="zh-CN"/>
        </w:rPr>
      </w:pPr>
      <w:r>
        <w:rPr>
          <w:rFonts w:hint="eastAsia" w:ascii="宋体" w:hAnsi="宋体"/>
          <w:sz w:val="24"/>
          <w:szCs w:val="24"/>
          <w:highlight w:val="none"/>
          <w:lang w:val="en-US" w:eastAsia="zh-CN"/>
        </w:rPr>
        <w:t>9.标志的使用和（或）任何其他对认证资格引用的情况：</w:t>
      </w:r>
    </w:p>
    <w:p>
      <w:pPr>
        <w:snapToGrid w:val="0"/>
        <w:spacing w:line="360" w:lineRule="auto"/>
        <w:ind w:right="-512" w:rightChars="-244" w:firstLine="240" w:firstLineChars="100"/>
        <w:rPr>
          <w:rFonts w:hint="eastAsia" w:asciiTheme="minorEastAsia" w:hAnsiTheme="minorEastAsia" w:eastAsiaTheme="minorEastAsia"/>
          <w:bCs/>
          <w:sz w:val="24"/>
          <w:szCs w:val="24"/>
          <w:lang w:val="en-US" w:eastAsia="zh-CN"/>
        </w:rPr>
      </w:pPr>
      <w:r>
        <w:rPr>
          <w:rFonts w:hint="eastAsia" w:ascii="宋体" w:hAnsi="宋体"/>
          <w:sz w:val="24"/>
          <w:szCs w:val="24"/>
          <w:highlight w:val="none"/>
          <w:lang w:val="en-US" w:eastAsia="zh-CN"/>
        </w:rPr>
        <w:t>公司对标志的使用，符合相关标准</w:t>
      </w:r>
      <w:r>
        <w:rPr>
          <w:rFonts w:hint="eastAsia"/>
          <w:bCs/>
          <w:sz w:val="24"/>
          <w:szCs w:val="24"/>
        </w:rPr>
        <w:t>和规定。公司测量</w:t>
      </w:r>
      <w:r>
        <w:rPr>
          <w:rFonts w:hint="eastAsia" w:asciiTheme="minorEastAsia" w:hAnsiTheme="minorEastAsia"/>
          <w:bCs/>
          <w:sz w:val="24"/>
          <w:szCs w:val="24"/>
        </w:rPr>
        <w:t>管理体系认证证书用于企业形象广告宣传</w:t>
      </w:r>
      <w:r>
        <w:rPr>
          <w:rFonts w:hint="eastAsia" w:asciiTheme="minorEastAsia" w:hAnsiTheme="minorEastAsia"/>
          <w:bCs/>
          <w:sz w:val="24"/>
          <w:szCs w:val="24"/>
          <w:lang w:val="en-US" w:eastAsia="zh-CN"/>
        </w:rPr>
        <w:t>及各油田的招投标中使用。</w:t>
      </w:r>
    </w:p>
    <w:p>
      <w:pPr>
        <w:snapToGrid w:val="0"/>
        <w:spacing w:line="360" w:lineRule="auto"/>
        <w:ind w:right="-512" w:rightChars="-244" w:firstLine="240" w:firstLineChars="100"/>
        <w:rPr>
          <w:rFonts w:hint="eastAsia" w:ascii="宋体" w:hAnsi="宋体"/>
          <w:sz w:val="24"/>
          <w:szCs w:val="24"/>
          <w:highlight w:val="none"/>
        </w:rPr>
      </w:pPr>
      <w:r>
        <w:rPr>
          <w:rFonts w:hint="eastAsia" w:ascii="宋体" w:hAnsi="宋体"/>
          <w:sz w:val="24"/>
          <w:szCs w:val="24"/>
          <w:highlight w:val="none"/>
        </w:rPr>
        <w:t xml:space="preserve">本次审核出具一般不符合项 </w:t>
      </w:r>
      <w:r>
        <w:rPr>
          <w:rFonts w:hint="eastAsia" w:ascii="宋体" w:hAnsi="宋体"/>
          <w:sz w:val="24"/>
          <w:szCs w:val="24"/>
          <w:highlight w:val="none"/>
          <w:lang w:val="en-US" w:eastAsia="zh-CN"/>
        </w:rPr>
        <w:t>1项</w:t>
      </w:r>
      <w:r>
        <w:rPr>
          <w:rFonts w:hint="eastAsia" w:ascii="宋体" w:hAnsi="宋体"/>
          <w:sz w:val="24"/>
          <w:szCs w:val="24"/>
          <w:highlight w:val="none"/>
        </w:rPr>
        <w:t>，未发现严重或系统性的不符合情况</w:t>
      </w:r>
    </w:p>
    <w:p>
      <w:pPr>
        <w:snapToGrid w:val="0"/>
        <w:spacing w:line="360" w:lineRule="auto"/>
        <w:ind w:right="-512" w:rightChars="-244" w:firstLine="240" w:firstLineChars="100"/>
        <w:rPr>
          <w:rFonts w:hint="default" w:ascii="宋体" w:hAnsi="宋体"/>
          <w:sz w:val="24"/>
          <w:szCs w:val="24"/>
          <w:highlight w:val="none"/>
          <w:lang w:val="en-US" w:eastAsia="zh-CN"/>
        </w:rPr>
      </w:pPr>
      <w:r>
        <w:rPr>
          <w:rFonts w:hint="eastAsia" w:ascii="宋体" w:hAnsi="宋体"/>
          <w:sz w:val="24"/>
          <w:szCs w:val="24"/>
          <w:highlight w:val="none"/>
          <w:lang w:val="en-US" w:eastAsia="zh-CN"/>
        </w:rPr>
        <w:t>在试验室没有对检测环境进行监控的记录，------应监视和记录影响测量的环境条件------</w:t>
      </w:r>
    </w:p>
    <w:p>
      <w:pPr>
        <w:snapToGrid w:val="0"/>
        <w:spacing w:line="360" w:lineRule="auto"/>
        <w:ind w:right="-512" w:rightChars="-244" w:firstLine="240" w:firstLineChars="100"/>
        <w:rPr>
          <w:rFonts w:hint="eastAsia" w:ascii="宋体" w:hAnsi="宋体"/>
          <w:sz w:val="24"/>
          <w:szCs w:val="24"/>
          <w:highlight w:val="none"/>
          <w:lang w:val="en-US" w:eastAsia="zh-CN"/>
        </w:rPr>
      </w:pPr>
      <w:r>
        <w:rPr>
          <w:rFonts w:hint="eastAsia" w:ascii="宋体" w:hAnsi="宋体"/>
          <w:sz w:val="24"/>
          <w:szCs w:val="24"/>
          <w:highlight w:val="none"/>
          <w:lang w:val="en-US" w:eastAsia="zh-CN"/>
        </w:rPr>
        <w:t>不符合_GB/T19022-2003标准6.3.2环境条款，不符合要求。</w:t>
      </w:r>
    </w:p>
    <w:p>
      <w:pPr>
        <w:widowControl/>
        <w:spacing w:line="360" w:lineRule="auto"/>
        <w:ind w:firstLine="480" w:firstLineChars="200"/>
        <w:jc w:val="left"/>
        <w:rPr>
          <w:rFonts w:ascii="宋体" w:hAnsi="宋体" w:eastAsia="宋体" w:cs="宋体"/>
          <w:kern w:val="0"/>
          <w:szCs w:val="28"/>
        </w:rPr>
      </w:pPr>
      <w:r>
        <w:rPr>
          <w:rFonts w:hint="eastAsia" w:ascii="宋体" w:hAnsi="宋体" w:eastAsia="宋体"/>
          <w:sz w:val="24"/>
          <w:szCs w:val="24"/>
          <w:highlight w:val="none"/>
          <w:lang w:val="en-US" w:eastAsia="zh-CN"/>
        </w:rPr>
        <w:t>三．</w:t>
      </w:r>
      <w:r>
        <w:rPr>
          <w:rFonts w:ascii="宋体" w:hAnsi="宋体" w:eastAsia="宋体" w:cs="宋体"/>
          <w:b/>
          <w:bCs/>
          <w:kern w:val="0"/>
          <w:szCs w:val="21"/>
        </w:rPr>
        <w:t>监督审核结论意见</w:t>
      </w:r>
      <w:r>
        <w:rPr>
          <w:rFonts w:ascii="宋体" w:hAnsi="宋体" w:eastAsia="宋体" w:cs="宋体"/>
          <w:kern w:val="0"/>
          <w:szCs w:val="28"/>
        </w:rPr>
        <w:t>:</w:t>
      </w:r>
    </w:p>
    <w:p>
      <w:pPr>
        <w:spacing w:line="360" w:lineRule="auto"/>
        <w:jc w:val="center"/>
        <w:rPr>
          <w:rFonts w:ascii="宋体" w:hAnsi="宋体" w:eastAsia="宋体" w:cs="Times New Roman"/>
          <w:sz w:val="24"/>
          <w:szCs w:val="24"/>
          <w:highlight w:val="none"/>
        </w:rPr>
      </w:pPr>
      <w:r>
        <w:rPr>
          <w:rStyle w:val="11"/>
          <w:rFonts w:hint="eastAsia" w:ascii="宋体" w:hAnsi="宋体" w:eastAsia="宋体"/>
          <w:color w:val="002060"/>
          <w:sz w:val="24"/>
          <w:szCs w:val="24"/>
          <w:lang w:val="en-US" w:eastAsia="zh-CN"/>
        </w:rPr>
        <w:t xml:space="preserve">   </w:t>
      </w:r>
      <w:r>
        <w:rPr>
          <w:rStyle w:val="11"/>
          <w:rFonts w:hint="eastAsia" w:ascii="宋体" w:hAnsi="宋体" w:eastAsia="宋体"/>
          <w:color w:val="002060"/>
          <w:sz w:val="24"/>
          <w:szCs w:val="24"/>
        </w:rPr>
        <w:t>通过</w:t>
      </w:r>
      <w:r>
        <w:rPr>
          <w:rStyle w:val="11"/>
          <w:rFonts w:hint="eastAsia" w:ascii="宋体" w:hAnsi="宋体" w:eastAsia="宋体"/>
          <w:sz w:val="24"/>
          <w:szCs w:val="24"/>
        </w:rPr>
        <w:t>20</w:t>
      </w:r>
      <w:r>
        <w:rPr>
          <w:rStyle w:val="11"/>
          <w:rFonts w:hint="eastAsia" w:ascii="宋体" w:hAnsi="宋体" w:eastAsia="宋体"/>
          <w:sz w:val="24"/>
          <w:szCs w:val="24"/>
          <w:lang w:val="en-US" w:eastAsia="zh-CN"/>
        </w:rPr>
        <w:t>20</w:t>
      </w:r>
      <w:r>
        <w:rPr>
          <w:rStyle w:val="11"/>
          <w:rFonts w:ascii="宋体" w:hAnsi="宋体" w:eastAsia="宋体"/>
          <w:sz w:val="24"/>
          <w:szCs w:val="24"/>
        </w:rPr>
        <w:t>年</w:t>
      </w:r>
      <w:r>
        <w:rPr>
          <w:rStyle w:val="11"/>
          <w:rFonts w:hint="eastAsia" w:ascii="宋体" w:hAnsi="宋体" w:eastAsia="宋体"/>
          <w:sz w:val="24"/>
          <w:szCs w:val="24"/>
          <w:lang w:val="en-US" w:eastAsia="zh-CN"/>
        </w:rPr>
        <w:t>8</w:t>
      </w:r>
      <w:r>
        <w:rPr>
          <w:rStyle w:val="11"/>
          <w:rFonts w:ascii="宋体" w:hAnsi="宋体" w:eastAsia="宋体"/>
          <w:sz w:val="24"/>
          <w:szCs w:val="24"/>
        </w:rPr>
        <w:t>月</w:t>
      </w:r>
      <w:r>
        <w:rPr>
          <w:rStyle w:val="11"/>
          <w:rFonts w:hint="eastAsia" w:ascii="宋体" w:hAnsi="宋体" w:eastAsia="宋体"/>
          <w:sz w:val="24"/>
          <w:szCs w:val="24"/>
          <w:lang w:val="en-US" w:eastAsia="zh-CN"/>
        </w:rPr>
        <w:t>13</w:t>
      </w:r>
      <w:r>
        <w:rPr>
          <w:rStyle w:val="11"/>
          <w:rFonts w:ascii="宋体" w:hAnsi="宋体" w:eastAsia="宋体"/>
          <w:sz w:val="24"/>
          <w:szCs w:val="24"/>
        </w:rPr>
        <w:t>日</w:t>
      </w:r>
      <w:r>
        <w:rPr>
          <w:rStyle w:val="11"/>
          <w:rFonts w:hint="eastAsia" w:ascii="宋体" w:hAnsi="宋体" w:eastAsia="宋体"/>
          <w:sz w:val="24"/>
          <w:szCs w:val="24"/>
          <w:lang w:val="en-US" w:eastAsia="zh-CN"/>
        </w:rPr>
        <w:t>至8月14日上午</w:t>
      </w:r>
      <w:r>
        <w:rPr>
          <w:rStyle w:val="11"/>
          <w:rFonts w:hint="eastAsia" w:ascii="宋体" w:hAnsi="宋体" w:eastAsia="宋体"/>
          <w:sz w:val="24"/>
          <w:szCs w:val="24"/>
        </w:rPr>
        <w:t>，</w:t>
      </w:r>
      <w:r>
        <w:rPr>
          <w:rStyle w:val="11"/>
          <w:rFonts w:hint="eastAsia" w:ascii="宋体" w:hAnsi="宋体" w:eastAsia="宋体"/>
          <w:sz w:val="24"/>
          <w:szCs w:val="24"/>
          <w:lang w:val="en-US" w:eastAsia="zh-CN"/>
        </w:rPr>
        <w:t>对</w:t>
      </w:r>
      <w:r>
        <w:rPr>
          <w:rStyle w:val="11"/>
          <w:rFonts w:hint="eastAsia" w:ascii="宋体" w:hAnsi="宋体" w:eastAsia="宋体"/>
          <w:sz w:val="24"/>
          <w:szCs w:val="24"/>
          <w:lang w:eastAsia="zh-CN"/>
        </w:rPr>
        <w:t>大庆市龙兴石油机械</w:t>
      </w:r>
      <w:r>
        <w:rPr>
          <w:rStyle w:val="11"/>
          <w:rFonts w:hint="eastAsia" w:ascii="宋体" w:hAnsi="宋体" w:eastAsia="宋体"/>
          <w:sz w:val="24"/>
          <w:szCs w:val="24"/>
        </w:rPr>
        <w:t>有限公司测</w:t>
      </w:r>
      <w:r>
        <w:rPr>
          <w:rStyle w:val="11"/>
          <w:rFonts w:ascii="宋体" w:hAnsi="宋体" w:eastAsia="宋体"/>
          <w:sz w:val="24"/>
          <w:szCs w:val="24"/>
        </w:rPr>
        <w:t>量管理现场</w:t>
      </w:r>
      <w:r>
        <w:rPr>
          <w:rStyle w:val="11"/>
          <w:rFonts w:hint="eastAsia" w:ascii="宋体" w:hAnsi="宋体" w:eastAsia="宋体"/>
          <w:sz w:val="24"/>
          <w:szCs w:val="24"/>
          <w:lang w:val="en-US" w:eastAsia="zh-CN"/>
        </w:rPr>
        <w:t>第1次</w:t>
      </w:r>
      <w:r>
        <w:rPr>
          <w:rStyle w:val="11"/>
          <w:rFonts w:hint="eastAsia" w:ascii="宋体" w:hAnsi="宋体" w:eastAsia="宋体"/>
          <w:sz w:val="24"/>
          <w:szCs w:val="24"/>
        </w:rPr>
        <w:t>监督</w:t>
      </w:r>
      <w:r>
        <w:rPr>
          <w:rStyle w:val="11"/>
          <w:rFonts w:ascii="宋体" w:hAnsi="宋体" w:eastAsia="宋体"/>
          <w:sz w:val="24"/>
          <w:szCs w:val="24"/>
        </w:rPr>
        <w:t>审核</w:t>
      </w:r>
      <w:r>
        <w:rPr>
          <w:rFonts w:hint="eastAsia" w:asciiTheme="minorEastAsia" w:hAnsiTheme="minorEastAsia"/>
          <w:bCs/>
          <w:sz w:val="24"/>
          <w:szCs w:val="24"/>
        </w:rPr>
        <w:t>.验证了公司在测量管理体系实现认证后</w:t>
      </w:r>
      <w:r>
        <w:rPr>
          <w:rFonts w:hint="eastAsia" w:asciiTheme="minorEastAsia" w:hAnsiTheme="minorEastAsia"/>
          <w:bCs/>
          <w:sz w:val="24"/>
          <w:szCs w:val="24"/>
          <w:lang w:val="en-US" w:eastAsia="zh-CN"/>
        </w:rPr>
        <w:t>一</w:t>
      </w:r>
      <w:r>
        <w:rPr>
          <w:rFonts w:hint="eastAsia" w:asciiTheme="minorEastAsia" w:hAnsiTheme="minorEastAsia"/>
          <w:bCs/>
          <w:sz w:val="24"/>
          <w:szCs w:val="24"/>
        </w:rPr>
        <w:t>年内，</w:t>
      </w:r>
      <w:r>
        <w:rPr>
          <w:rFonts w:hint="eastAsia" w:ascii="宋体" w:hAnsi="宋体"/>
          <w:sz w:val="24"/>
          <w:szCs w:val="24"/>
        </w:rPr>
        <w:t>领导重视体系运行和管理，体系文件得到有效实施，关键测量过程受控、监视方法正确有效，重要测量人员能力受控，测量设备、测量环境、测量软件、测量记录及外部供方管理等各项工作，比上一年度更加完善和规范，使公司测量体系持续满足顾客的测量要求</w:t>
      </w:r>
      <w:r>
        <w:rPr>
          <w:rFonts w:hint="eastAsia" w:ascii="宋体" w:hAnsi="宋体"/>
          <w:sz w:val="24"/>
          <w:szCs w:val="24"/>
          <w:lang w:eastAsia="zh-CN"/>
        </w:rPr>
        <w:t>。</w:t>
      </w:r>
      <w:r>
        <w:rPr>
          <w:rFonts w:hint="eastAsia" w:ascii="宋体" w:hAnsi="宋体"/>
          <w:sz w:val="24"/>
          <w:szCs w:val="24"/>
        </w:rPr>
        <w:t>用能单位的能源计量器具准确度等级</w:t>
      </w:r>
      <w:r>
        <w:rPr>
          <w:rFonts w:hint="eastAsia" w:ascii="宋体" w:hAnsi="宋体"/>
          <w:sz w:val="24"/>
          <w:szCs w:val="24"/>
          <w:lang w:val="en-US" w:eastAsia="zh-CN"/>
        </w:rPr>
        <w:t xml:space="preserve"> ，</w:t>
      </w:r>
      <w:r>
        <w:rPr>
          <w:rFonts w:hint="eastAsia" w:ascii="宋体" w:hAnsi="宋体"/>
          <w:sz w:val="24"/>
          <w:szCs w:val="24"/>
        </w:rPr>
        <w:t>用能单位的能源计量器具准确度等级：2.0级的三相四线电能表1块和2</w:t>
      </w:r>
      <w:r>
        <w:rPr>
          <w:rFonts w:hint="eastAsia" w:ascii="宋体" w:hAnsi="宋体"/>
          <w:sz w:val="24"/>
          <w:szCs w:val="24"/>
          <w:lang w:val="en-US" w:eastAsia="zh-CN"/>
        </w:rPr>
        <w:t>.5</w:t>
      </w:r>
      <w:r>
        <w:rPr>
          <w:rFonts w:hint="eastAsia" w:ascii="宋体" w:hAnsi="宋体"/>
          <w:sz w:val="24"/>
          <w:szCs w:val="24"/>
        </w:rPr>
        <w:t xml:space="preserve">级的水表1块，满足GB17167标准4.3.8表4的要求 </w:t>
      </w:r>
      <w:r>
        <w:rPr>
          <w:rFonts w:hint="eastAsia" w:ascii="宋体" w:hAnsi="宋体"/>
          <w:sz w:val="24"/>
          <w:szCs w:val="24"/>
          <w:lang w:val="en-US" w:eastAsia="zh-CN"/>
        </w:rPr>
        <w:t xml:space="preserve"> </w:t>
      </w:r>
      <w:r>
        <w:rPr>
          <w:rFonts w:hint="eastAsia" w:ascii="宋体" w:hAnsi="宋体"/>
          <w:sz w:val="24"/>
          <w:szCs w:val="24"/>
        </w:rPr>
        <w:t>企业能源计量器具共有2台，已编入了测量设备管理目录，能源计量器具配备率符合GB17167－2006的要求。能源数据每月抄表，能源报表数据可追溯到现场测试记录，满</w:t>
      </w:r>
      <w:r>
        <w:rPr>
          <w:rFonts w:hint="eastAsia" w:ascii="宋体" w:hAnsi="宋体"/>
          <w:sz w:val="24"/>
          <w:szCs w:val="24"/>
          <w:shd w:val="clear" w:color="auto" w:fill="auto"/>
        </w:rPr>
        <w:t>足要求。综上所述，</w:t>
      </w:r>
      <w:r>
        <w:rPr>
          <w:rFonts w:hint="eastAsia" w:ascii="宋体" w:hAnsi="宋体"/>
          <w:sz w:val="24"/>
          <w:szCs w:val="24"/>
        </w:rPr>
        <w:t>审核组认为</w:t>
      </w:r>
      <w:r>
        <w:rPr>
          <w:rFonts w:hint="eastAsia" w:ascii="宋体" w:hAnsi="宋体"/>
          <w:szCs w:val="21"/>
          <w:lang w:eastAsia="zh-CN"/>
        </w:rPr>
        <w:t>大庆市龙兴石油机械</w:t>
      </w:r>
      <w:r>
        <w:rPr>
          <w:rStyle w:val="11"/>
          <w:rFonts w:hint="eastAsia" w:ascii="宋体" w:hAnsi="宋体" w:eastAsia="宋体"/>
          <w:sz w:val="24"/>
          <w:szCs w:val="24"/>
        </w:rPr>
        <w:t>有限公司</w:t>
      </w:r>
      <w:r>
        <w:rPr>
          <w:rFonts w:hint="eastAsia" w:ascii="宋体" w:hAnsi="宋体"/>
          <w:sz w:val="24"/>
          <w:szCs w:val="24"/>
        </w:rPr>
        <w:t>测量管理体系，符合GB/T 19022-2003标准要求，对体系运行具有持续的有效性、符合性予以肯定。建议报请国标联合认证有限公司批准通过监督审核。</w:t>
      </w:r>
      <w:r>
        <w:rPr>
          <w:rFonts w:hint="eastAsia" w:ascii="宋体" w:hAnsi="宋体" w:eastAsia="宋体" w:cs="Times New Roman"/>
          <w:sz w:val="24"/>
          <w:szCs w:val="24"/>
          <w:highlight w:val="none"/>
          <w:lang w:val="en-US" w:eastAsia="zh-CN"/>
        </w:rPr>
        <w:t>另为了促进支持企业测量管理体系持续提高，建议企业对测量管理体系加强学习</w:t>
      </w:r>
      <w:r>
        <w:rPr>
          <w:rFonts w:hint="eastAsia" w:ascii="宋体" w:hAnsi="宋体" w:eastAsia="宋体" w:cs="Times New Roman"/>
          <w:sz w:val="24"/>
          <w:szCs w:val="24"/>
          <w:highlight w:val="none"/>
          <w:lang w:eastAsia="zh-CN"/>
        </w:rPr>
        <w:t>；</w:t>
      </w:r>
      <w:r>
        <w:rPr>
          <w:rFonts w:hint="eastAsia" w:ascii="宋体" w:hAnsi="宋体" w:eastAsia="宋体" w:cs="Times New Roman"/>
          <w:sz w:val="24"/>
          <w:szCs w:val="24"/>
          <w:highlight w:val="none"/>
          <w:lang w:val="en-US" w:eastAsia="zh-CN"/>
        </w:rPr>
        <w:t>各个部门之间协调配合，现场测量设备标识统一管理清晰完整，</w:t>
      </w:r>
      <w:r>
        <w:rPr>
          <w:rFonts w:hint="eastAsia" w:ascii="宋体" w:hAnsi="宋体" w:eastAsia="宋体" w:cs="Times New Roman"/>
          <w:sz w:val="24"/>
          <w:szCs w:val="24"/>
          <w:highlight w:val="none"/>
        </w:rPr>
        <w:t>公司应对全公司测量设备</w:t>
      </w:r>
      <w:r>
        <w:rPr>
          <w:rFonts w:hint="eastAsia" w:ascii="宋体" w:hAnsi="宋体" w:eastAsia="宋体" w:cs="Times New Roman"/>
          <w:sz w:val="24"/>
          <w:szCs w:val="24"/>
          <w:highlight w:val="none"/>
          <w:lang w:val="en-US" w:eastAsia="zh-CN"/>
        </w:rPr>
        <w:t>都应纳入管理，并进行</w:t>
      </w:r>
      <w:r>
        <w:rPr>
          <w:rFonts w:hint="eastAsia" w:ascii="宋体" w:hAnsi="宋体" w:eastAsia="宋体" w:cs="Times New Roman"/>
          <w:sz w:val="24"/>
          <w:szCs w:val="24"/>
          <w:highlight w:val="none"/>
        </w:rPr>
        <w:t>A、B、C分类管理</w:t>
      </w:r>
      <w:r>
        <w:rPr>
          <w:rFonts w:hint="eastAsia" w:ascii="宋体" w:hAnsi="宋体" w:eastAsia="宋体" w:cs="Times New Roman"/>
          <w:sz w:val="24"/>
          <w:szCs w:val="24"/>
          <w:highlight w:val="none"/>
          <w:lang w:eastAsia="zh-CN"/>
        </w:rPr>
        <w:t>；</w:t>
      </w:r>
      <w:r>
        <w:rPr>
          <w:rFonts w:hint="eastAsia" w:ascii="宋体" w:hAnsi="宋体" w:eastAsia="宋体" w:cs="Times New Roman"/>
          <w:sz w:val="24"/>
          <w:szCs w:val="24"/>
          <w:highlight w:val="none"/>
        </w:rPr>
        <w:t>对内审中发现的问题，进一步有效的整改完善，</w:t>
      </w:r>
      <w:r>
        <w:rPr>
          <w:rFonts w:hint="eastAsia" w:ascii="宋体" w:hAnsi="宋体" w:eastAsia="宋体" w:cs="Times New Roman"/>
          <w:sz w:val="24"/>
          <w:szCs w:val="24"/>
          <w:highlight w:val="none"/>
          <w:lang w:val="en-US" w:eastAsia="zh-CN"/>
        </w:rPr>
        <w:t>加强内审员业务水平的提升</w:t>
      </w:r>
      <w:r>
        <w:rPr>
          <w:rFonts w:hint="eastAsia" w:ascii="宋体" w:hAnsi="宋体" w:eastAsia="宋体" w:cs="Times New Roman"/>
          <w:sz w:val="24"/>
          <w:szCs w:val="24"/>
          <w:highlight w:val="none"/>
        </w:rPr>
        <w:t>以达到提高</w:t>
      </w:r>
      <w:r>
        <w:rPr>
          <w:rFonts w:hint="eastAsia" w:ascii="宋体" w:hAnsi="宋体" w:eastAsia="宋体" w:cs="Times New Roman"/>
          <w:sz w:val="24"/>
          <w:szCs w:val="24"/>
          <w:highlight w:val="none"/>
          <w:lang w:val="en-US" w:eastAsia="zh-CN"/>
        </w:rPr>
        <w:t>企业</w:t>
      </w:r>
      <w:r>
        <w:rPr>
          <w:rFonts w:hint="eastAsia" w:ascii="宋体" w:hAnsi="宋体" w:eastAsia="宋体" w:cs="Times New Roman"/>
          <w:sz w:val="24"/>
          <w:szCs w:val="24"/>
          <w:highlight w:val="none"/>
        </w:rPr>
        <w:t>的</w:t>
      </w:r>
      <w:r>
        <w:rPr>
          <w:rFonts w:hint="eastAsia" w:ascii="宋体" w:hAnsi="宋体" w:eastAsia="宋体" w:cs="Times New Roman"/>
          <w:sz w:val="24"/>
          <w:szCs w:val="24"/>
          <w:highlight w:val="none"/>
          <w:lang w:val="en-US" w:eastAsia="zh-CN"/>
        </w:rPr>
        <w:t>内部管理水平，为企业发展助力。</w:t>
      </w:r>
    </w:p>
    <w:p>
      <w:pPr>
        <w:widowControl/>
        <w:spacing w:line="276" w:lineRule="auto"/>
        <w:rPr>
          <w:rFonts w:ascii="宋体" w:hAnsi="宋体" w:eastAsia="宋体" w:cs="宋体"/>
          <w:b/>
          <w:bCs/>
          <w:kern w:val="0"/>
          <w:szCs w:val="28"/>
        </w:rPr>
      </w:pPr>
    </w:p>
    <w:p>
      <w:pPr>
        <w:widowControl/>
        <w:spacing w:line="276" w:lineRule="auto"/>
        <w:ind w:right="945"/>
        <w:jc w:val="right"/>
        <w:rPr>
          <w:rFonts w:hint="eastAsia" w:ascii="宋体" w:hAnsi="宋体" w:eastAsia="宋体" w:cs="宋体"/>
          <w:kern w:val="0"/>
          <w:szCs w:val="28"/>
          <w:lang w:val="en-US" w:eastAsia="zh-CN"/>
        </w:rPr>
      </w:pPr>
      <w:r>
        <w:rPr>
          <w:rFonts w:hint="eastAsia" w:ascii="宋体" w:hAnsi="宋体" w:eastAsia="宋体" w:cs="宋体"/>
          <w:kern w:val="0"/>
          <w:szCs w:val="28"/>
          <w:lang w:val="en-US" w:eastAsia="zh-CN"/>
        </w:rPr>
        <w:t xml:space="preserve">   </w:t>
      </w:r>
    </w:p>
    <w:p>
      <w:pPr>
        <w:widowControl/>
        <w:spacing w:line="276" w:lineRule="auto"/>
        <w:ind w:right="945"/>
        <w:jc w:val="right"/>
        <w:rPr>
          <w:rFonts w:hint="eastAsia" w:ascii="宋体" w:hAnsi="宋体" w:eastAsia="宋体" w:cs="宋体"/>
          <w:kern w:val="0"/>
          <w:szCs w:val="28"/>
          <w:lang w:val="en-US" w:eastAsia="zh-CN"/>
        </w:rPr>
      </w:pPr>
    </w:p>
    <w:p>
      <w:pPr>
        <w:widowControl/>
        <w:spacing w:line="276" w:lineRule="auto"/>
        <w:ind w:right="945"/>
        <w:jc w:val="right"/>
        <w:rPr>
          <w:rFonts w:hint="eastAsia" w:ascii="宋体" w:hAnsi="宋体" w:eastAsia="宋体" w:cs="宋体"/>
          <w:kern w:val="0"/>
          <w:szCs w:val="28"/>
          <w:lang w:val="en-US" w:eastAsia="zh-CN"/>
        </w:rPr>
      </w:pPr>
    </w:p>
    <w:p>
      <w:pPr>
        <w:widowControl/>
        <w:spacing w:line="276" w:lineRule="auto"/>
        <w:ind w:right="945"/>
        <w:jc w:val="right"/>
        <w:rPr>
          <w:rFonts w:hint="eastAsia" w:ascii="宋体" w:hAnsi="宋体" w:eastAsia="宋体" w:cs="宋体"/>
          <w:kern w:val="0"/>
          <w:szCs w:val="28"/>
          <w:lang w:val="en-US" w:eastAsia="zh-CN"/>
        </w:rPr>
      </w:pPr>
    </w:p>
    <w:p>
      <w:pPr>
        <w:widowControl/>
        <w:spacing w:line="276" w:lineRule="auto"/>
        <w:ind w:right="945"/>
        <w:jc w:val="right"/>
        <w:rPr>
          <w:rFonts w:ascii="宋体" w:hAnsi="宋体" w:eastAsia="宋体" w:cs="宋体"/>
          <w:kern w:val="0"/>
          <w:szCs w:val="28"/>
        </w:rPr>
      </w:pPr>
    </w:p>
    <w:p>
      <w:pPr>
        <w:widowControl/>
        <w:spacing w:line="276" w:lineRule="auto"/>
        <w:ind w:right="945"/>
        <w:jc w:val="both"/>
        <w:rPr>
          <w:rFonts w:hint="default" w:ascii="宋体" w:hAnsi="宋体" w:eastAsia="宋体" w:cs="宋体"/>
          <w:kern w:val="0"/>
          <w:szCs w:val="28"/>
          <w:lang w:val="en-US" w:eastAsia="zh-CN"/>
        </w:rPr>
      </w:pPr>
      <w:r>
        <w:rPr>
          <w:rFonts w:ascii="宋体" w:hAnsi="宋体" w:eastAsia="宋体" w:cs="宋体"/>
          <w:kern w:val="0"/>
          <w:szCs w:val="28"/>
        </w:rPr>
        <w:t>审核员 （签字）：</w:t>
      </w:r>
      <w:r>
        <w:rPr>
          <w:rFonts w:hint="eastAsia" w:ascii="宋体" w:hAnsi="宋体" w:eastAsia="宋体" w:cs="宋体"/>
          <w:kern w:val="0"/>
          <w:szCs w:val="28"/>
        </w:rPr>
        <w:t xml:space="preserve">         </w:t>
      </w:r>
      <w:r>
        <w:rPr>
          <w:rFonts w:hint="eastAsia" w:ascii="宋体" w:hAnsi="宋体" w:eastAsia="宋体" w:cs="宋体"/>
          <w:kern w:val="0"/>
          <w:szCs w:val="28"/>
          <w:lang w:val="en-US" w:eastAsia="zh-CN"/>
        </w:rPr>
        <w:t xml:space="preserve">              </w:t>
      </w:r>
      <w:r>
        <w:rPr>
          <w:rFonts w:hint="eastAsia" w:ascii="宋体" w:hAnsi="宋体" w:eastAsia="宋体" w:cs="宋体"/>
          <w:kern w:val="0"/>
          <w:szCs w:val="28"/>
        </w:rPr>
        <w:t xml:space="preserve"> </w:t>
      </w:r>
      <w:r>
        <w:rPr>
          <w:rFonts w:hint="eastAsia" w:ascii="宋体" w:hAnsi="宋体" w:eastAsia="宋体" w:cs="宋体"/>
          <w:kern w:val="0"/>
          <w:szCs w:val="28"/>
          <w:lang w:val="en-US" w:eastAsia="zh-CN"/>
        </w:rPr>
        <w:t>2020.8.14</w:t>
      </w:r>
      <w:bookmarkStart w:id="1" w:name="_GoBack"/>
      <w:bookmarkEnd w:id="1"/>
    </w:p>
    <w:p>
      <w:pPr>
        <w:widowControl/>
        <w:spacing w:line="276" w:lineRule="auto"/>
        <w:ind w:right="1365"/>
        <w:rPr>
          <w:rFonts w:hint="eastAsia" w:ascii="宋体" w:hAnsi="宋体" w:eastAsia="宋体" w:cs="宋体"/>
          <w:b/>
          <w:bCs/>
          <w:kern w:val="0"/>
          <w:szCs w:val="21"/>
        </w:rPr>
      </w:pPr>
    </w:p>
    <w:p>
      <w:pPr>
        <w:widowControl/>
        <w:spacing w:line="276" w:lineRule="auto"/>
        <w:ind w:right="1365"/>
        <w:rPr>
          <w:rFonts w:hint="eastAsia" w:ascii="宋体" w:hAnsi="宋体" w:eastAsia="宋体" w:cs="宋体"/>
          <w:b/>
          <w:bCs/>
          <w:kern w:val="0"/>
          <w:szCs w:val="21"/>
        </w:rPr>
      </w:pPr>
    </w:p>
    <w:p>
      <w:pPr>
        <w:widowControl/>
        <w:spacing w:line="276" w:lineRule="auto"/>
        <w:ind w:right="1365"/>
        <w:rPr>
          <w:rFonts w:ascii="宋体" w:hAnsi="宋体" w:eastAsia="宋体" w:cs="宋体"/>
          <w:kern w:val="0"/>
          <w:szCs w:val="21"/>
        </w:rPr>
      </w:pPr>
      <w:r>
        <w:rPr>
          <w:rFonts w:hint="eastAsia" w:ascii="宋体" w:hAnsi="宋体" w:eastAsia="宋体" w:cs="宋体"/>
          <w:b/>
          <w:bCs/>
          <w:kern w:val="0"/>
          <w:szCs w:val="21"/>
        </w:rPr>
        <w:t>四、报告审查人意见</w:t>
      </w:r>
    </w:p>
    <w:p>
      <w:pPr>
        <w:widowControl/>
        <w:spacing w:line="276" w:lineRule="auto"/>
        <w:ind w:firstLine="3118" w:firstLineChars="1485"/>
        <w:jc w:val="left"/>
        <w:rPr>
          <w:rFonts w:ascii="宋体" w:hAnsi="宋体" w:eastAsia="宋体" w:cs="宋体"/>
          <w:kern w:val="0"/>
          <w:szCs w:val="28"/>
        </w:rPr>
      </w:pPr>
      <w:r>
        <w:rPr>
          <w:rFonts w:hint="eastAsia" w:ascii="宋体" w:hAnsi="宋体" w:eastAsia="宋体" w:cs="宋体"/>
          <w:kern w:val="0"/>
          <w:szCs w:val="28"/>
        </w:rPr>
        <w:t>审查人员（签字）：             日期：</w:t>
      </w:r>
    </w:p>
    <w:p>
      <w:pPr>
        <w:widowControl/>
        <w:spacing w:line="276" w:lineRule="auto"/>
        <w:ind w:right="1050"/>
        <w:rPr>
          <w:rFonts w:ascii="宋体" w:hAnsi="宋体" w:eastAsia="宋体" w:cs="宋体"/>
          <w:b/>
          <w:bCs/>
          <w:kern w:val="0"/>
          <w:szCs w:val="21"/>
        </w:rPr>
      </w:pPr>
    </w:p>
    <w:p>
      <w:pPr>
        <w:widowControl/>
        <w:spacing w:line="276" w:lineRule="auto"/>
        <w:ind w:right="1050"/>
        <w:rPr>
          <w:rFonts w:hint="eastAsia" w:ascii="宋体" w:hAnsi="宋体" w:eastAsia="宋体" w:cs="宋体"/>
          <w:b/>
          <w:bCs/>
          <w:kern w:val="0"/>
          <w:szCs w:val="21"/>
        </w:rPr>
      </w:pPr>
    </w:p>
    <w:p>
      <w:pPr>
        <w:widowControl/>
        <w:spacing w:line="276" w:lineRule="auto"/>
        <w:ind w:right="1050"/>
        <w:rPr>
          <w:rFonts w:hint="eastAsia" w:ascii="宋体" w:hAnsi="宋体" w:eastAsia="宋体" w:cs="宋体"/>
          <w:b/>
          <w:bCs/>
          <w:kern w:val="0"/>
          <w:szCs w:val="21"/>
        </w:rPr>
      </w:pPr>
    </w:p>
    <w:p>
      <w:pPr>
        <w:widowControl/>
        <w:spacing w:line="276" w:lineRule="auto"/>
        <w:ind w:right="1050"/>
        <w:rPr>
          <w:rFonts w:ascii="宋体" w:hAnsi="宋体" w:eastAsia="宋体" w:cs="宋体"/>
          <w:kern w:val="0"/>
          <w:szCs w:val="28"/>
        </w:rPr>
      </w:pPr>
      <w:r>
        <w:rPr>
          <w:rFonts w:hint="eastAsia" w:ascii="宋体" w:hAnsi="宋体" w:eastAsia="宋体" w:cs="宋体"/>
          <w:b/>
          <w:bCs/>
          <w:kern w:val="0"/>
          <w:szCs w:val="21"/>
        </w:rPr>
        <w:t xml:space="preserve">五、 </w:t>
      </w:r>
      <w:r>
        <w:rPr>
          <w:rFonts w:ascii="宋体" w:hAnsi="宋体" w:eastAsia="宋体" w:cs="宋体"/>
          <w:b/>
          <w:bCs/>
          <w:kern w:val="0"/>
          <w:szCs w:val="21"/>
        </w:rPr>
        <w:t>认证</w:t>
      </w:r>
      <w:r>
        <w:rPr>
          <w:rFonts w:hint="eastAsia" w:ascii="宋体" w:hAnsi="宋体" w:eastAsia="宋体" w:cs="宋体"/>
          <w:b/>
          <w:bCs/>
          <w:kern w:val="0"/>
          <w:szCs w:val="21"/>
        </w:rPr>
        <w:t>机构</w:t>
      </w:r>
      <w:r>
        <w:rPr>
          <w:rFonts w:ascii="宋体" w:hAnsi="宋体" w:eastAsia="宋体" w:cs="宋体"/>
          <w:b/>
          <w:kern w:val="0"/>
          <w:szCs w:val="28"/>
        </w:rPr>
        <w:t>负责人</w:t>
      </w:r>
      <w:r>
        <w:rPr>
          <w:rFonts w:hint="eastAsia" w:ascii="宋体" w:hAnsi="宋体" w:eastAsia="宋体" w:cs="宋体"/>
          <w:kern w:val="0"/>
          <w:szCs w:val="28"/>
        </w:rPr>
        <w:t>(</w:t>
      </w:r>
      <w:r>
        <w:rPr>
          <w:rFonts w:ascii="宋体" w:hAnsi="宋体" w:eastAsia="宋体" w:cs="宋体"/>
          <w:kern w:val="0"/>
          <w:szCs w:val="28"/>
        </w:rPr>
        <w:t>签字</w:t>
      </w:r>
      <w:r>
        <w:rPr>
          <w:rFonts w:hint="eastAsia" w:ascii="宋体" w:hAnsi="宋体" w:eastAsia="宋体" w:cs="宋体"/>
          <w:kern w:val="0"/>
          <w:szCs w:val="28"/>
        </w:rPr>
        <w:t>)</w:t>
      </w:r>
      <w:r>
        <w:rPr>
          <w:rFonts w:ascii="宋体" w:hAnsi="宋体" w:eastAsia="宋体" w:cs="宋体"/>
          <w:kern w:val="0"/>
          <w:szCs w:val="28"/>
        </w:rPr>
        <w:t>：</w:t>
      </w:r>
      <w:r>
        <w:rPr>
          <w:rFonts w:hint="eastAsia" w:ascii="宋体" w:hAnsi="宋体" w:eastAsia="宋体" w:cs="宋体"/>
          <w:kern w:val="0"/>
          <w:szCs w:val="28"/>
        </w:rPr>
        <w:t xml:space="preserve">      </w:t>
      </w:r>
      <w:r>
        <w:rPr>
          <w:rFonts w:ascii="宋体" w:hAnsi="宋体" w:eastAsia="宋体" w:cs="宋体"/>
          <w:kern w:val="0"/>
          <w:szCs w:val="28"/>
        </w:rPr>
        <w:t xml:space="preserve">    </w:t>
      </w:r>
      <w:r>
        <w:rPr>
          <w:rFonts w:hint="eastAsia" w:ascii="宋体" w:hAnsi="宋体" w:eastAsia="宋体" w:cs="宋体"/>
          <w:kern w:val="0"/>
          <w:szCs w:val="28"/>
        </w:rPr>
        <w:t xml:space="preserve"> </w:t>
      </w:r>
      <w:r>
        <w:rPr>
          <w:rFonts w:ascii="宋体" w:hAnsi="宋体" w:eastAsia="宋体" w:cs="宋体"/>
          <w:kern w:val="0"/>
          <w:szCs w:val="28"/>
        </w:rPr>
        <w:t>日期：</w:t>
      </w:r>
      <w:r>
        <w:rPr>
          <w:rFonts w:hint="eastAsia" w:ascii="宋体" w:hAnsi="宋体" w:eastAsia="宋体" w:cs="宋体"/>
          <w:kern w:val="0"/>
          <w:szCs w:val="28"/>
        </w:rPr>
        <w:t xml:space="preserve">                 </w:t>
      </w:r>
    </w:p>
    <w:sectPr>
      <w:headerReference r:id="rId3" w:type="default"/>
      <w:footerReference r:id="rId4"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PGothic">
    <w:panose1 w:val="020B0600070205080204"/>
    <w:charset w:val="80"/>
    <w:family w:val="swiss"/>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0" w:name="OLE_LINK1"/>
    <w:r>
      <w:drawing>
        <wp:anchor distT="0" distB="0" distL="114300" distR="114300" simplePos="0" relativeHeight="251658240"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r>
      <w:rPr>
        <w:rFonts w:hint="eastAsia"/>
      </w:rPr>
      <w:t xml:space="preserve">   </w:t>
    </w:r>
  </w:p>
  <w:p>
    <w:pPr>
      <w:pStyle w:val="3"/>
      <w:pBdr>
        <w:bottom w:val="none" w:color="auto" w:sz="0" w:space="0"/>
      </w:pBdr>
      <w:spacing w:line="320" w:lineRule="exact"/>
      <w:jc w:val="left"/>
      <w:rPr>
        <w:rStyle w:val="9"/>
        <w:rFonts w:hint="default" w:ascii="Times New Roman" w:hAnsi="Times New Roman" w:cs="Times New Roman"/>
        <w:szCs w:val="21"/>
      </w:rPr>
    </w:pPr>
    <w:r>
      <w:rPr>
        <w:sz w:val="21"/>
        <w:szCs w:val="21"/>
      </w:rPr>
      <w:pict>
        <v:shape id="文本框 1" o:spid="_x0000_s4097" o:spt="202" type="#_x0000_t202" style="position:absolute;left:0pt;margin-left:288.95pt;margin-top:15.6pt;height:20.6pt;width:173.9pt;z-index:251659264;mso-width-relative:page;mso-height-relative:page;" stroked="f" coordsize="21600,21600" o:gfxdata="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O0Y&#10;L+jYAAAACQEAAA8AAAAAAAAAAQAgAAAAIgAAAGRycy9kb3ducmV2LnhtbFBLAQIUABQAAAAIAIdO&#10;4kAP11JVsQEAAEADAAAOAAAAAAAAAAEAIAAAACcBAABkcnMvZTJvRG9jLnhtbFBLBQYAAAAABgAG&#10;AFkBAABKBQAAAAA=&#1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 xml:space="preserve"> 监督审核报告</w:t>
                </w:r>
                <w:r>
                  <w:rPr>
                    <w:rFonts w:ascii="Times New Roman" w:hAnsi="Times New Roman" w:cs="Times New Roman"/>
                    <w:szCs w:val="21"/>
                  </w:rPr>
                  <w:t>（0</w:t>
                </w:r>
                <w:r>
                  <w:rPr>
                    <w:rFonts w:hint="eastAsia" w:ascii="Times New Roman" w:hAnsi="Times New Roman" w:cs="Times New Roman"/>
                    <w:szCs w:val="21"/>
                  </w:rPr>
                  <w:t>6</w:t>
                </w:r>
                <w:r>
                  <w:rPr>
                    <w:rFonts w:ascii="Times New Roman" w:hAnsi="Times New Roman" w:cs="Times New Roman"/>
                    <w:szCs w:val="21"/>
                  </w:rPr>
                  <w:t>版）</w:t>
                </w:r>
              </w:p>
            </w:txbxContent>
          </v:textbox>
        </v:shape>
      </w:pict>
    </w:r>
    <w:r>
      <w:rPr>
        <w:rStyle w:val="9"/>
        <w:rFonts w:hint="default"/>
        <w:szCs w:val="21"/>
      </w:rPr>
      <w:t xml:space="preserve">   </w:t>
    </w:r>
    <w:r>
      <w:rPr>
        <w:rStyle w:val="9"/>
        <w:rFonts w:hint="default" w:ascii="Times New Roman" w:hAnsi="Times New Roman" w:cs="Times New Roman"/>
        <w:szCs w:val="21"/>
      </w:rPr>
      <w:t>北京国标联合认证有限公司</w:t>
    </w:r>
  </w:p>
  <w:p>
    <w:pPr>
      <w:pStyle w:val="3"/>
      <w:pBdr>
        <w:bottom w:val="none" w:color="auto" w:sz="0" w:space="1"/>
      </w:pBdr>
      <w:spacing w:line="320" w:lineRule="exact"/>
      <w:jc w:val="left"/>
    </w:pPr>
    <w:r>
      <w:rPr>
        <w:rStyle w:val="9"/>
        <w:rFonts w:hint="default" w:ascii="Times New Roman" w:hAnsi="Times New Roman" w:cs="Times New Roman"/>
        <w:szCs w:val="21"/>
      </w:rPr>
      <w:t xml:space="preserve">   </w:t>
    </w:r>
    <w:r>
      <w:rPr>
        <w:rStyle w:val="9"/>
        <w:rFonts w:hint="default" w:ascii="Times New Roman" w:hAnsi="Times New Roman" w:cs="Times New Roman"/>
        <w:w w:val="80"/>
        <w:szCs w:val="21"/>
      </w:rPr>
      <w:t xml:space="preserve">Beijing International Standard united Certification Co.,Ltd. </w:t>
    </w:r>
    <w:r>
      <w:rPr>
        <w:rStyle w:val="9"/>
        <w:rFonts w:hint="default"/>
        <w:w w:val="90"/>
        <w:sz w:val="18"/>
      </w:rPr>
      <w:t xml:space="preserve">                     </w:t>
    </w:r>
  </w:p>
  <w:p>
    <w:pPr>
      <w:rPr>
        <w:sz w:val="18"/>
        <w:szCs w:val="18"/>
      </w:rPr>
    </w:pPr>
    <w:r>
      <w:rPr>
        <w:sz w:val="18"/>
      </w:rPr>
      <w:pict>
        <v:line id="直线 3" o:spid="_x0000_s4098" o:spt="20" style="position:absolute;left:0pt;margin-left:-23.7pt;margin-top:2.35pt;height:0.7pt;width:460.6pt;z-index:251660288;mso-width-relative:page;mso-height-relative:page;" coordsize="21600,21600" o:gfxdata="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peOcJ1AAAAAUBAAAPAAAAAAAAAAEAIAAAACIAAABk&#10;cnMvZG93bnJldi54bWxQSwECFAAUAAAACACHTuJAGFGqw9EBAACQAwAADgAAAAAAAAABACAAAAAj&#10;AQAAZHJzL2Uyb0RvYy54bWxQSwUGAAAAAAYABgBZAQAAZgUAAAAA&#10;">
          <v:path arrowok="t"/>
          <v:fill focussize="0,0"/>
          <v:stroke/>
          <v:imagedata o:title=""/>
          <o:lock v:ext="edit"/>
        </v:line>
      </w:pict>
    </w:r>
    <w:bookmarkEnd w:id="0"/>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933639"/>
    <w:multiLevelType w:val="singleLevel"/>
    <w:tmpl w:val="24933639"/>
    <w:lvl w:ilvl="0" w:tentative="0">
      <w:start w:val="2"/>
      <w:numFmt w:val="decimal"/>
      <w:lvlText w:val="%1."/>
      <w:lvlJc w:val="left"/>
      <w:pPr>
        <w:tabs>
          <w:tab w:val="left" w:pos="312"/>
        </w:tabs>
      </w:pPr>
    </w:lvl>
  </w:abstractNum>
  <w:abstractNum w:abstractNumId="1">
    <w:nsid w:val="6E048769"/>
    <w:multiLevelType w:val="singleLevel"/>
    <w:tmpl w:val="6E048769"/>
    <w:lvl w:ilvl="0" w:tentative="0">
      <w:start w:val="6"/>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4"/>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6B2605"/>
    <w:rsid w:val="00032845"/>
    <w:rsid w:val="000D737A"/>
    <w:rsid w:val="0012312B"/>
    <w:rsid w:val="002569B6"/>
    <w:rsid w:val="002701A1"/>
    <w:rsid w:val="0030082D"/>
    <w:rsid w:val="003C25DA"/>
    <w:rsid w:val="003F21F1"/>
    <w:rsid w:val="004965DE"/>
    <w:rsid w:val="004A5891"/>
    <w:rsid w:val="004D7195"/>
    <w:rsid w:val="00504944"/>
    <w:rsid w:val="00524180"/>
    <w:rsid w:val="005912DB"/>
    <w:rsid w:val="00622FCA"/>
    <w:rsid w:val="00690C29"/>
    <w:rsid w:val="00694890"/>
    <w:rsid w:val="006B2605"/>
    <w:rsid w:val="00742DD4"/>
    <w:rsid w:val="007609C2"/>
    <w:rsid w:val="00795D58"/>
    <w:rsid w:val="007B16DA"/>
    <w:rsid w:val="00822A88"/>
    <w:rsid w:val="00842859"/>
    <w:rsid w:val="00847DEA"/>
    <w:rsid w:val="00863661"/>
    <w:rsid w:val="00880CD0"/>
    <w:rsid w:val="008A03D9"/>
    <w:rsid w:val="0094582B"/>
    <w:rsid w:val="009954C3"/>
    <w:rsid w:val="009C6468"/>
    <w:rsid w:val="009D387A"/>
    <w:rsid w:val="009D4C3A"/>
    <w:rsid w:val="009E059D"/>
    <w:rsid w:val="00A03794"/>
    <w:rsid w:val="00A520FA"/>
    <w:rsid w:val="00A71D09"/>
    <w:rsid w:val="00AA57FD"/>
    <w:rsid w:val="00AF6EBD"/>
    <w:rsid w:val="00B063C4"/>
    <w:rsid w:val="00B52DDC"/>
    <w:rsid w:val="00C536C5"/>
    <w:rsid w:val="00CB3AA9"/>
    <w:rsid w:val="00CC18AF"/>
    <w:rsid w:val="00D85083"/>
    <w:rsid w:val="00DC4708"/>
    <w:rsid w:val="00DC4CAB"/>
    <w:rsid w:val="00E1650B"/>
    <w:rsid w:val="00E57204"/>
    <w:rsid w:val="00EA1DBB"/>
    <w:rsid w:val="00EC5C29"/>
    <w:rsid w:val="00F337FF"/>
    <w:rsid w:val="00F91504"/>
    <w:rsid w:val="00F93FAD"/>
    <w:rsid w:val="00FA2B0D"/>
    <w:rsid w:val="00FB5DA3"/>
    <w:rsid w:val="00FC32BD"/>
    <w:rsid w:val="00FD399A"/>
    <w:rsid w:val="00FD533E"/>
    <w:rsid w:val="00FF3F0A"/>
    <w:rsid w:val="0135474C"/>
    <w:rsid w:val="0BF45514"/>
    <w:rsid w:val="0E8C5939"/>
    <w:rsid w:val="138501A6"/>
    <w:rsid w:val="14575BEE"/>
    <w:rsid w:val="14EA6CB3"/>
    <w:rsid w:val="17A323A1"/>
    <w:rsid w:val="1D5E1F47"/>
    <w:rsid w:val="1D9A2E7B"/>
    <w:rsid w:val="1DD97BCA"/>
    <w:rsid w:val="1E2774C7"/>
    <w:rsid w:val="23881FD2"/>
    <w:rsid w:val="246E16E9"/>
    <w:rsid w:val="267B10B4"/>
    <w:rsid w:val="27554591"/>
    <w:rsid w:val="28826509"/>
    <w:rsid w:val="2A55179D"/>
    <w:rsid w:val="308C462A"/>
    <w:rsid w:val="31DB01B3"/>
    <w:rsid w:val="321D6989"/>
    <w:rsid w:val="365A3F08"/>
    <w:rsid w:val="36C43AD4"/>
    <w:rsid w:val="37774C67"/>
    <w:rsid w:val="3BB67694"/>
    <w:rsid w:val="3C9F7C5C"/>
    <w:rsid w:val="3EBB7FAC"/>
    <w:rsid w:val="3EC25B56"/>
    <w:rsid w:val="4024179D"/>
    <w:rsid w:val="41300BAF"/>
    <w:rsid w:val="49C14E74"/>
    <w:rsid w:val="4A8A2F7C"/>
    <w:rsid w:val="4B005FF0"/>
    <w:rsid w:val="4F757019"/>
    <w:rsid w:val="4FF60B62"/>
    <w:rsid w:val="51C16409"/>
    <w:rsid w:val="547533AA"/>
    <w:rsid w:val="55C92FC9"/>
    <w:rsid w:val="56896C6B"/>
    <w:rsid w:val="58082CF0"/>
    <w:rsid w:val="5896057E"/>
    <w:rsid w:val="5BA410AD"/>
    <w:rsid w:val="5C2C0776"/>
    <w:rsid w:val="5F1C7C1A"/>
    <w:rsid w:val="5FB81639"/>
    <w:rsid w:val="5FCA3BA5"/>
    <w:rsid w:val="601C447D"/>
    <w:rsid w:val="61854963"/>
    <w:rsid w:val="61A667FC"/>
    <w:rsid w:val="61D14A92"/>
    <w:rsid w:val="6425758F"/>
    <w:rsid w:val="67D506DB"/>
    <w:rsid w:val="693568F0"/>
    <w:rsid w:val="707F0D4F"/>
    <w:rsid w:val="74832446"/>
    <w:rsid w:val="74BF4AAE"/>
    <w:rsid w:val="7AAE132C"/>
    <w:rsid w:val="7BAC1EE6"/>
    <w:rsid w:val="7FDB02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5"/>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Font Style99"/>
    <w:qFormat/>
    <w:uiPriority w:val="0"/>
    <w:rPr>
      <w:rFonts w:ascii="黑体" w:eastAsia="黑体" w:cs="黑体"/>
      <w:sz w:val="20"/>
      <w:szCs w:val="20"/>
    </w:rPr>
  </w:style>
  <w:style w:type="character" w:customStyle="1" w:styleId="11">
    <w:name w:val="Font Style137"/>
    <w:qFormat/>
    <w:uiPriority w:val="0"/>
    <w:rPr>
      <w:rFonts w:ascii="黑体" w:eastAsia="黑体" w:cs="黑体"/>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111</Words>
  <Characters>638</Characters>
  <Lines>5</Lines>
  <Paragraphs>1</Paragraphs>
  <TotalTime>3</TotalTime>
  <ScaleCrop>false</ScaleCrop>
  <LinksUpToDate>false</LinksUpToDate>
  <CharactersWithSpaces>748</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A樱洁</cp:lastModifiedBy>
  <cp:lastPrinted>2017-09-01T06:24:00Z</cp:lastPrinted>
  <dcterms:modified xsi:type="dcterms:W3CDTF">2020-08-14T00:39:23Z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