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宋体"/>
          <w:b/>
          <w:sz w:val="18"/>
          <w:szCs w:val="18"/>
        </w:rPr>
      </w:pPr>
      <w:r>
        <w:rPr>
          <w:rFonts w:hint="eastAsia" w:ascii="宋体" w:hAnsi="宋体"/>
          <w:b/>
          <w:sz w:val="30"/>
          <w:szCs w:val="30"/>
        </w:rPr>
        <w:t>专业培训记录</w:t>
      </w:r>
    </w:p>
    <w:p>
      <w:pPr>
        <w:snapToGrid w:val="0"/>
        <w:spacing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927"/>
        <w:gridCol w:w="363"/>
        <w:gridCol w:w="1505"/>
        <w:gridCol w:w="1251"/>
        <w:gridCol w:w="1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5"/>
            <w:tcBorders>
              <w:top w:val="single" w:color="auto" w:sz="8" w:space="0"/>
            </w:tcBorders>
            <w:vAlign w:val="center"/>
          </w:tcPr>
          <w:p>
            <w:pPr>
              <w:snapToGrid w:val="0"/>
              <w:spacing w:line="280" w:lineRule="exact"/>
              <w:jc w:val="center"/>
              <w:rPr>
                <w:b/>
                <w:sz w:val="20"/>
              </w:rPr>
            </w:pPr>
            <w:bookmarkStart w:id="4" w:name="组织名称"/>
            <w:r>
              <w:rPr>
                <w:b/>
                <w:sz w:val="20"/>
              </w:rPr>
              <w:t>四川御鼎华建筑安装工程有限公司</w:t>
            </w:r>
            <w:bookmarkEnd w:id="4"/>
          </w:p>
        </w:tc>
        <w:tc>
          <w:tcPr>
            <w:tcW w:w="1251"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848" w:type="dxa"/>
            <w:tcBorders>
              <w:top w:val="single" w:color="auto" w:sz="8" w:space="0"/>
            </w:tcBorders>
            <w:vAlign w:val="center"/>
          </w:tcPr>
          <w:p>
            <w:pPr>
              <w:snapToGrid w:val="0"/>
              <w:spacing w:line="280" w:lineRule="exact"/>
              <w:ind w:left="52"/>
              <w:jc w:val="center"/>
              <w:rPr>
                <w:b/>
                <w:sz w:val="18"/>
                <w:szCs w:val="18"/>
              </w:rPr>
            </w:pPr>
            <w:bookmarkStart w:id="5" w:name="专业代码"/>
            <w:r>
              <w:rPr>
                <w:b/>
                <w:sz w:val="18"/>
                <w:szCs w:val="18"/>
              </w:rPr>
              <w:t>E：28.04.01;28.07.03</w:t>
            </w:r>
          </w:p>
          <w:p>
            <w:pPr>
              <w:snapToGrid w:val="0"/>
              <w:spacing w:line="280" w:lineRule="exact"/>
              <w:ind w:left="52"/>
              <w:jc w:val="center"/>
              <w:rPr>
                <w:b/>
                <w:sz w:val="18"/>
                <w:szCs w:val="18"/>
              </w:rPr>
            </w:pPr>
            <w:r>
              <w:rPr>
                <w:b/>
                <w:sz w:val="18"/>
                <w:szCs w:val="18"/>
              </w:rPr>
              <w:t>O：28.04.01;28.07.03</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rFonts w:hint="eastAsia"/>
                <w:b/>
                <w:sz w:val="20"/>
              </w:rPr>
              <w:t>文平</w:t>
            </w:r>
          </w:p>
        </w:tc>
        <w:tc>
          <w:tcPr>
            <w:tcW w:w="927" w:type="dxa"/>
            <w:vAlign w:val="center"/>
          </w:tcPr>
          <w:p>
            <w:pPr>
              <w:snapToGrid w:val="0"/>
              <w:spacing w:line="280" w:lineRule="exact"/>
              <w:jc w:val="center"/>
              <w:rPr>
                <w:b/>
                <w:sz w:val="22"/>
                <w:szCs w:val="22"/>
              </w:rPr>
            </w:pPr>
            <w:r>
              <w:rPr>
                <w:rFonts w:hint="eastAsia"/>
                <w:b/>
                <w:sz w:val="22"/>
                <w:szCs w:val="22"/>
              </w:rPr>
              <w:t>专业</w:t>
            </w:r>
          </w:p>
        </w:tc>
        <w:tc>
          <w:tcPr>
            <w:tcW w:w="1868" w:type="dxa"/>
            <w:gridSpan w:val="2"/>
            <w:vAlign w:val="center"/>
          </w:tcPr>
          <w:p>
            <w:pPr>
              <w:snapToGrid w:val="0"/>
              <w:spacing w:line="280" w:lineRule="exact"/>
              <w:ind w:left="52"/>
              <w:jc w:val="center"/>
              <w:rPr>
                <w:b/>
                <w:sz w:val="18"/>
                <w:szCs w:val="18"/>
              </w:rPr>
            </w:pPr>
            <w:r>
              <w:rPr>
                <w:b/>
                <w:sz w:val="18"/>
                <w:szCs w:val="18"/>
              </w:rPr>
              <w:t>E：28.04.01;28.07.03</w:t>
            </w:r>
          </w:p>
          <w:p>
            <w:pPr>
              <w:snapToGrid w:val="0"/>
              <w:spacing w:line="280" w:lineRule="exact"/>
              <w:ind w:left="52"/>
              <w:jc w:val="center"/>
              <w:rPr>
                <w:b/>
                <w:sz w:val="18"/>
                <w:szCs w:val="18"/>
              </w:rPr>
            </w:pPr>
            <w:r>
              <w:rPr>
                <w:b/>
                <w:sz w:val="18"/>
                <w:szCs w:val="18"/>
              </w:rPr>
              <w:t>O：28.04.01;28.07.03</w:t>
            </w:r>
          </w:p>
        </w:tc>
        <w:tc>
          <w:tcPr>
            <w:tcW w:w="1251" w:type="dxa"/>
            <w:vAlign w:val="center"/>
          </w:tcPr>
          <w:p>
            <w:pPr>
              <w:snapToGrid w:val="0"/>
              <w:spacing w:line="280" w:lineRule="exact"/>
              <w:jc w:val="center"/>
              <w:rPr>
                <w:b/>
                <w:sz w:val="22"/>
                <w:szCs w:val="22"/>
              </w:rPr>
            </w:pPr>
            <w:r>
              <w:rPr>
                <w:rFonts w:hint="eastAsia"/>
                <w:b/>
                <w:sz w:val="22"/>
                <w:szCs w:val="22"/>
              </w:rPr>
              <w:t>培训地点</w:t>
            </w:r>
          </w:p>
        </w:tc>
        <w:tc>
          <w:tcPr>
            <w:tcW w:w="1848" w:type="dxa"/>
            <w:vAlign w:val="center"/>
          </w:tcPr>
          <w:p>
            <w:pPr>
              <w:snapToGrid w:val="0"/>
              <w:spacing w:line="280" w:lineRule="exact"/>
              <w:jc w:val="center"/>
              <w:rPr>
                <w:b/>
                <w:sz w:val="20"/>
              </w:rPr>
            </w:pPr>
            <w:r>
              <w:rPr>
                <w:rFonts w:hint="eastAsia"/>
                <w:b/>
                <w:sz w:val="20"/>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b/>
                <w:sz w:val="20"/>
              </w:rPr>
            </w:pPr>
            <w:r>
              <w:rPr>
                <w:rFonts w:hint="eastAsia"/>
                <w:b/>
                <w:sz w:val="20"/>
              </w:rPr>
              <w:t>杨珍全</w:t>
            </w:r>
          </w:p>
        </w:tc>
        <w:tc>
          <w:tcPr>
            <w:tcW w:w="1505" w:type="dxa"/>
            <w:vAlign w:val="center"/>
          </w:tcPr>
          <w:p>
            <w:pPr>
              <w:snapToGrid w:val="0"/>
              <w:spacing w:line="360" w:lineRule="exact"/>
              <w:jc w:val="center"/>
              <w:rPr>
                <w:b/>
                <w:sz w:val="20"/>
              </w:rPr>
            </w:pPr>
            <w:r>
              <w:rPr>
                <w:rFonts w:hint="eastAsia"/>
                <w:b/>
                <w:sz w:val="20"/>
              </w:rPr>
              <w:t>余家龙</w:t>
            </w:r>
          </w:p>
        </w:tc>
        <w:tc>
          <w:tcPr>
            <w:tcW w:w="1290"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251" w:type="dxa"/>
            <w:vAlign w:val="center"/>
          </w:tcPr>
          <w:p>
            <w:pPr>
              <w:snapToGrid w:val="0"/>
              <w:spacing w:line="360" w:lineRule="exact"/>
              <w:jc w:val="center"/>
              <w:rPr>
                <w:b/>
                <w:sz w:val="20"/>
              </w:rPr>
            </w:pPr>
          </w:p>
        </w:tc>
        <w:tc>
          <w:tcPr>
            <w:tcW w:w="184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r>
              <w:rPr>
                <w:rFonts w:hint="eastAsia"/>
                <w:b/>
                <w:sz w:val="20"/>
              </w:rPr>
              <w:t>无</w:t>
            </w:r>
          </w:p>
        </w:tc>
        <w:tc>
          <w:tcPr>
            <w:tcW w:w="1505" w:type="dxa"/>
            <w:vAlign w:val="center"/>
          </w:tcPr>
          <w:p>
            <w:pPr>
              <w:snapToGrid w:val="0"/>
              <w:spacing w:line="360" w:lineRule="exact"/>
              <w:jc w:val="center"/>
              <w:rPr>
                <w:b/>
                <w:sz w:val="20"/>
              </w:rPr>
            </w:pPr>
            <w:r>
              <w:rPr>
                <w:rFonts w:hint="eastAsia"/>
                <w:b/>
                <w:sz w:val="20"/>
              </w:rPr>
              <w:t>无</w:t>
            </w:r>
          </w:p>
        </w:tc>
        <w:tc>
          <w:tcPr>
            <w:tcW w:w="1290"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251" w:type="dxa"/>
            <w:vAlign w:val="center"/>
          </w:tcPr>
          <w:p>
            <w:pPr>
              <w:snapToGrid w:val="0"/>
              <w:spacing w:line="360" w:lineRule="exact"/>
              <w:jc w:val="center"/>
              <w:rPr>
                <w:b/>
                <w:sz w:val="20"/>
              </w:rPr>
            </w:pPr>
          </w:p>
        </w:tc>
        <w:tc>
          <w:tcPr>
            <w:tcW w:w="184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rFonts w:hint="eastAsia" w:eastAsia="宋体"/>
                <w:bCs/>
                <w:sz w:val="21"/>
                <w:szCs w:val="21"/>
                <w:lang w:val="en-US" w:eastAsia="zh-CN"/>
              </w:rPr>
            </w:pPr>
            <w:r>
              <w:rPr>
                <w:rFonts w:hint="eastAsia" w:ascii="宋体" w:hAnsi="宋体"/>
                <w:sz w:val="21"/>
                <w:szCs w:val="21"/>
              </w:rPr>
              <w:t>施工流程：</w:t>
            </w:r>
            <w:r>
              <w:rPr>
                <w:rFonts w:hint="eastAsia"/>
                <w:bCs/>
                <w:sz w:val="21"/>
                <w:szCs w:val="21"/>
              </w:rPr>
              <w:t>项目洽谈——合同签订——拟定方案——实施——验收——售后服</w:t>
            </w:r>
            <w:r>
              <w:rPr>
                <w:rFonts w:hint="eastAsia"/>
                <w:bCs/>
                <w:sz w:val="21"/>
                <w:szCs w:val="21"/>
                <w:lang w:val="en-US" w:eastAsia="zh-CN"/>
              </w:rPr>
              <w:t>务</w:t>
            </w:r>
          </w:p>
          <w:p>
            <w:pPr>
              <w:rPr>
                <w:rFonts w:hint="eastAsia" w:ascii="宋体" w:hAnsi="宋体"/>
                <w:sz w:val="21"/>
                <w:szCs w:val="21"/>
              </w:rPr>
            </w:pPr>
          </w:p>
          <w:p>
            <w:pPr>
              <w:rPr>
                <w:b/>
                <w:sz w:val="20"/>
              </w:rPr>
            </w:pPr>
            <w:r>
              <w:rPr>
                <w:rFonts w:hint="eastAsia" w:ascii="宋体" w:hAnsi="宋体"/>
                <w:sz w:val="21"/>
                <w:szCs w:val="21"/>
              </w:rPr>
              <w:t>施工服务为关键过程。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7"/>
            <w:vAlign w:val="center"/>
          </w:tcPr>
          <w:p>
            <w:pPr>
              <w:snapToGrid w:val="0"/>
              <w:spacing w:line="280" w:lineRule="exact"/>
              <w:jc w:val="left"/>
              <w:rPr>
                <w:sz w:val="21"/>
                <w:szCs w:val="21"/>
              </w:rPr>
            </w:pPr>
            <w:r>
              <w:rPr>
                <w:rFonts w:hint="eastAsia"/>
                <w:sz w:val="21"/>
                <w:szCs w:val="21"/>
              </w:rPr>
              <w:t>施工过程通过拟定施工方案和环境安全管理制度对过程和质量进行控制，存在的风险有造成质量、安全和环境污染事故。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7"/>
            <w:vAlign w:val="center"/>
          </w:tcPr>
          <w:p>
            <w:pPr>
              <w:tabs>
                <w:tab w:val="left" w:pos="1080"/>
              </w:tabs>
              <w:jc w:val="left"/>
              <w:rPr>
                <w:sz w:val="21"/>
                <w:szCs w:val="21"/>
              </w:rPr>
            </w:pPr>
            <w:r>
              <w:rPr>
                <w:rFonts w:hint="eastAsia" w:ascii="宋体" w:hAnsi="宋体"/>
                <w:sz w:val="21"/>
                <w:szCs w:val="21"/>
              </w:rPr>
              <w:t>重要环境因素：固废排放、潜在火灾、噪声、粉尘排放等</w:t>
            </w:r>
            <w:r>
              <w:rPr>
                <w:rFonts w:hint="eastAsia"/>
                <w:sz w:val="21"/>
                <w:szCs w:val="21"/>
              </w:rPr>
              <w:t>。通过制定管理方案和应急预案进行控制</w:t>
            </w:r>
          </w:p>
          <w:p>
            <w:pPr>
              <w:jc w:val="left"/>
              <w:rPr>
                <w:rFonts w:ascii="宋体" w:hAnsi="宋体"/>
                <w:sz w:val="21"/>
                <w:szCs w:val="21"/>
              </w:rPr>
            </w:pPr>
          </w:p>
          <w:p>
            <w:pPr>
              <w:jc w:val="left"/>
              <w:rPr>
                <w:rFonts w:ascii="宋体" w:hAnsi="宋体"/>
                <w:sz w:val="21"/>
                <w:szCs w:val="21"/>
              </w:rPr>
            </w:pPr>
          </w:p>
          <w:p>
            <w:pPr>
              <w:snapToGrid w:val="0"/>
              <w:spacing w:line="280" w:lineRule="exact"/>
              <w:jc w:val="lef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7"/>
            <w:vAlign w:val="center"/>
          </w:tcPr>
          <w:p>
            <w:pPr>
              <w:snapToGrid w:val="0"/>
              <w:spacing w:line="280" w:lineRule="exact"/>
              <w:jc w:val="left"/>
              <w:rPr>
                <w:b/>
                <w:sz w:val="20"/>
              </w:rPr>
            </w:pPr>
            <w:r>
              <w:rPr>
                <w:rFonts w:hint="eastAsia" w:ascii="宋体" w:hAnsi="宋体"/>
                <w:sz w:val="21"/>
                <w:szCs w:val="21"/>
              </w:rPr>
              <w:t>不可接受风险：潜在火灾、机械伤害、意外伤害、职业病、交</w:t>
            </w:r>
            <w:bookmarkStart w:id="9" w:name="_GoBack"/>
            <w:bookmarkEnd w:id="9"/>
            <w:r>
              <w:rPr>
                <w:rFonts w:hint="eastAsia" w:ascii="宋体" w:hAnsi="宋体"/>
                <w:sz w:val="21"/>
                <w:szCs w:val="21"/>
              </w:rPr>
              <w:t>通事故</w:t>
            </w:r>
            <w:r>
              <w:rPr>
                <w:rFonts w:hint="eastAsia"/>
                <w:sz w:val="21"/>
                <w:szCs w:val="21"/>
              </w:rPr>
              <w:t>。通过制定管理方案和应急预案进行控制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7"/>
            <w:vAlign w:val="center"/>
          </w:tcPr>
          <w:p>
            <w:pPr>
              <w:snapToGrid w:val="0"/>
              <w:spacing w:line="280" w:lineRule="exact"/>
              <w:jc w:val="left"/>
              <w:rPr>
                <w:b/>
                <w:sz w:val="20"/>
              </w:rPr>
            </w:pPr>
            <w:r>
              <w:rPr>
                <w:rFonts w:hint="eastAsia" w:ascii="宋体" w:hAnsi="宋体"/>
                <w:sz w:val="21"/>
                <w:szCs w:val="21"/>
              </w:rPr>
              <w:t>污水排入城镇下水道水质标准（</w:t>
            </w:r>
            <w:r>
              <w:rPr>
                <w:rFonts w:ascii="宋体" w:hAnsi="宋体"/>
                <w:sz w:val="21"/>
                <w:szCs w:val="21"/>
              </w:rPr>
              <w:t>GB/T 31962-2015</w:t>
            </w:r>
            <w:r>
              <w:rPr>
                <w:rFonts w:hint="eastAsia" w:ascii="宋体" w:hAnsi="宋体"/>
                <w:sz w:val="21"/>
                <w:szCs w:val="21"/>
              </w:rPr>
              <w:t>）、大气污染物综合排放标准（</w:t>
            </w:r>
            <w:r>
              <w:rPr>
                <w:rFonts w:ascii="宋体" w:hAnsi="宋体"/>
                <w:sz w:val="21"/>
                <w:szCs w:val="21"/>
              </w:rPr>
              <w:t>GB 16297-1996</w:t>
            </w:r>
            <w:r>
              <w:rPr>
                <w:rFonts w:hint="eastAsia" w:ascii="宋体" w:hAnsi="宋体"/>
                <w:sz w:val="21"/>
                <w:szCs w:val="21"/>
              </w:rPr>
              <w:t>）、《</w:t>
            </w:r>
            <w:r>
              <w:fldChar w:fldCharType="begin"/>
            </w:r>
            <w:r>
              <w:instrText xml:space="preserve"> HYPERLINK "http://www.qseek.net/chinalaw/search-detail.php?TopicID=1&amp;id=NzAxNDYxOTA5OTYyMzg1NTkyNTA1" \t "_blank" </w:instrText>
            </w:r>
            <w:r>
              <w:fldChar w:fldCharType="separate"/>
            </w:r>
            <w:r>
              <w:rPr>
                <w:rFonts w:hint="eastAsia" w:ascii="宋体" w:hAnsi="宋体"/>
                <w:sz w:val="21"/>
                <w:szCs w:val="21"/>
              </w:rPr>
              <w:t>中华人民共和国环境噪声污染防治法</w:t>
            </w:r>
            <w:r>
              <w:rPr>
                <w:rFonts w:hint="eastAsia" w:ascii="宋体" w:hAnsi="宋体"/>
                <w:sz w:val="21"/>
                <w:szCs w:val="21"/>
              </w:rPr>
              <w:fldChar w:fldCharType="end"/>
            </w:r>
            <w:r>
              <w:rPr>
                <w:rFonts w:hint="eastAsia" w:ascii="宋体" w:hAnsi="宋体"/>
                <w:sz w:val="21"/>
                <w:szCs w:val="21"/>
              </w:rPr>
              <w:t>》、《</w:t>
            </w:r>
            <w:r>
              <w:fldChar w:fldCharType="begin"/>
            </w:r>
            <w:r>
              <w:instrText xml:space="preserve"> HYPERLINK "http://www.lyhb.gov.cn/static/zshl10.htm" \t "_blank" </w:instrText>
            </w:r>
            <w:r>
              <w:fldChar w:fldCharType="separate"/>
            </w:r>
            <w:r>
              <w:rPr>
                <w:rFonts w:hint="eastAsia" w:ascii="宋体" w:hAnsi="宋体"/>
                <w:sz w:val="21"/>
                <w:szCs w:val="21"/>
              </w:rPr>
              <w:t>中华人民共和国国家标</w:t>
            </w:r>
            <w:bookmarkStart w:id="6" w:name="_Hlt150231616"/>
            <w:r>
              <w:rPr>
                <w:rFonts w:hint="eastAsia" w:ascii="宋体" w:hAnsi="宋体"/>
                <w:sz w:val="21"/>
                <w:szCs w:val="21"/>
              </w:rPr>
              <w:t>准</w:t>
            </w:r>
            <w:bookmarkEnd w:id="6"/>
            <w:bookmarkStart w:id="7" w:name="_Hlt112727308"/>
            <w:bookmarkStart w:id="8" w:name="_Hlt112727309"/>
            <w:r>
              <w:rPr>
                <w:rFonts w:hint="eastAsia" w:ascii="宋体" w:hAnsi="宋体"/>
                <w:sz w:val="21"/>
                <w:szCs w:val="21"/>
              </w:rPr>
              <w:t>建</w:t>
            </w:r>
            <w:bookmarkEnd w:id="7"/>
            <w:bookmarkEnd w:id="8"/>
            <w:r>
              <w:rPr>
                <w:rFonts w:hint="eastAsia" w:ascii="宋体" w:hAnsi="宋体"/>
                <w:sz w:val="21"/>
                <w:szCs w:val="21"/>
              </w:rPr>
              <w:t>筑施工场界噪声限值</w:t>
            </w:r>
            <w:r>
              <w:rPr>
                <w:rFonts w:hint="eastAsia" w:ascii="宋体" w:hAnsi="宋体"/>
                <w:sz w:val="21"/>
                <w:szCs w:val="21"/>
              </w:rPr>
              <w:fldChar w:fldCharType="end"/>
            </w:r>
            <w:r>
              <w:rPr>
                <w:rFonts w:hint="eastAsia" w:ascii="宋体" w:hAnsi="宋体"/>
                <w:sz w:val="21"/>
                <w:szCs w:val="21"/>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center"/>
              <w:rPr>
                <w:b/>
                <w:sz w:val="20"/>
              </w:rPr>
            </w:pPr>
            <w:r>
              <w:rPr>
                <w:b/>
                <w:sz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tcBorders>
              <w:bottom w:val="single" w:color="auto" w:sz="8" w:space="0"/>
            </w:tcBorders>
            <w:vAlign w:val="center"/>
          </w:tcPr>
          <w:p>
            <w:pPr>
              <w:snapToGrid w:val="0"/>
              <w:spacing w:line="280" w:lineRule="exact"/>
              <w:jc w:val="center"/>
              <w:rPr>
                <w:b/>
                <w:sz w:val="20"/>
              </w:rPr>
            </w:pPr>
            <w:r>
              <w:rPr>
                <w:rFonts w:hint="eastAsia"/>
                <w:b/>
                <w:sz w:val="20"/>
              </w:rPr>
              <w:t>/</w:t>
            </w:r>
          </w:p>
        </w:tc>
      </w:tr>
    </w:tbl>
    <w:p>
      <w:pPr>
        <w:snapToGrid w:val="0"/>
        <w:rPr>
          <w:rFonts w:ascii="宋体"/>
          <w:b/>
          <w:sz w:val="22"/>
          <w:szCs w:val="22"/>
        </w:rPr>
      </w:pPr>
      <w:r>
        <w:rPr>
          <w:rFonts w:hint="eastAsia" w:ascii="宋体"/>
          <w:b/>
          <w:sz w:val="22"/>
          <w:szCs w:val="22"/>
        </w:rPr>
        <w:drawing>
          <wp:anchor distT="0" distB="0" distL="114300" distR="114300" simplePos="0" relativeHeight="251661312" behindDoc="0" locked="0" layoutInCell="1" allowOverlap="1">
            <wp:simplePos x="0" y="0"/>
            <wp:positionH relativeFrom="column">
              <wp:posOffset>4141470</wp:posOffset>
            </wp:positionH>
            <wp:positionV relativeFrom="paragraph">
              <wp:posOffset>83820</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52425" cy="304800"/>
                    </a:xfrm>
                    <a:prstGeom prst="rect">
                      <a:avLst/>
                    </a:prstGeom>
                    <a:noFill/>
                  </pic:spPr>
                </pic:pic>
              </a:graphicData>
            </a:graphic>
          </wp:anchor>
        </w:drawing>
      </w:r>
      <w:r>
        <w:rPr>
          <w:rFonts w:hint="eastAsia" w:ascii="宋体"/>
          <w:b/>
          <w:sz w:val="22"/>
          <w:szCs w:val="22"/>
        </w:rPr>
        <w:drawing>
          <wp:anchor distT="0" distB="0" distL="114300" distR="114300" simplePos="0" relativeHeight="251659264" behindDoc="0" locked="0" layoutInCell="1" allowOverlap="1">
            <wp:simplePos x="0" y="0"/>
            <wp:positionH relativeFrom="column">
              <wp:posOffset>1292860</wp:posOffset>
            </wp:positionH>
            <wp:positionV relativeFrom="paragraph">
              <wp:posOffset>31115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52425" cy="304800"/>
                    </a:xfrm>
                    <a:prstGeom prst="rect">
                      <a:avLst/>
                    </a:prstGeom>
                    <a:noFill/>
                  </pic:spPr>
                </pic:pic>
              </a:graphicData>
            </a:graphic>
          </wp:anchor>
        </w:drawing>
      </w: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2020.8.15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b/>
          <w:sz w:val="22"/>
          <w:szCs w:val="22"/>
        </w:rPr>
        <w:t>日期</w:t>
      </w:r>
      <w:r>
        <w:rPr>
          <w:rFonts w:hint="eastAsia"/>
          <w:b/>
          <w:sz w:val="18"/>
          <w:szCs w:val="18"/>
        </w:rPr>
        <w:t>：2020.8.15</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05C7"/>
    <w:rsid w:val="00053364"/>
    <w:rsid w:val="0038278C"/>
    <w:rsid w:val="005540B5"/>
    <w:rsid w:val="00D105C7"/>
    <w:rsid w:val="00DE3BA7"/>
    <w:rsid w:val="59CA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批注框文本 Char"/>
    <w:link w:val="2"/>
    <w:semiHidden/>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136</Words>
  <Characters>779</Characters>
  <Lines>6</Lines>
  <Paragraphs>1</Paragraphs>
  <TotalTime>26</TotalTime>
  <ScaleCrop>false</ScaleCrop>
  <LinksUpToDate>false</LinksUpToDate>
  <CharactersWithSpaces>914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way一直都在</cp:lastModifiedBy>
  <dcterms:modified xsi:type="dcterms:W3CDTF">2020-08-12T01:47:16Z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