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rPr>
        <w:t>受审核部门：</w:t>
      </w:r>
      <w:r>
        <w:rPr>
          <w:rFonts w:hint="eastAsia" w:ascii="Times New Roman" w:hAnsi="Times New Roman" w:cs="Times New Roman"/>
          <w:sz w:val="24"/>
          <w:szCs w:val="24"/>
          <w:lang w:eastAsia="zh-CN"/>
        </w:rPr>
        <w:t>管理层、</w:t>
      </w:r>
      <w:r>
        <w:rPr>
          <w:rFonts w:hint="eastAsia" w:ascii="Times New Roman" w:hAnsi="Times New Roman" w:cs="Times New Roman"/>
          <w:sz w:val="24"/>
          <w:szCs w:val="24"/>
          <w:lang w:val="en-US" w:eastAsia="zh-CN"/>
        </w:rPr>
        <w:t xml:space="preserve">生产车间、质量管理部、技术设备部、综合管理及安全环保部  </w:t>
      </w:r>
    </w:p>
    <w:p>
      <w:pPr>
        <w:rPr>
          <w:rFonts w:hint="eastAsia" w:ascii="Times New Roman" w:hAnsi="Times New Roman" w:cs="Times New Roman"/>
          <w:sz w:val="24"/>
          <w:szCs w:val="24"/>
        </w:rPr>
      </w:pPr>
      <w:r>
        <w:rPr>
          <w:rFonts w:hint="eastAsia" w:ascii="Times New Roman" w:hAnsi="Times New Roman" w:cs="Times New Roman"/>
          <w:sz w:val="24"/>
          <w:szCs w:val="24"/>
        </w:rPr>
        <w:t>陪同人员</w:t>
      </w:r>
      <w:r>
        <w:rPr>
          <w:rFonts w:hint="eastAsia" w:ascii="Times New Roman" w:hAnsi="Times New Roman" w:cs="Times New Roman"/>
          <w:sz w:val="24"/>
          <w:szCs w:val="24"/>
          <w:lang w:eastAsia="zh-CN"/>
        </w:rPr>
        <w:t>：</w:t>
      </w:r>
      <w:bookmarkStart w:id="0" w:name="联系人"/>
      <w:r>
        <w:rPr>
          <w:rFonts w:hint="eastAsia" w:ascii="Times New Roman" w:hAnsi="Times New Roman" w:cs="Times New Roman"/>
          <w:sz w:val="24"/>
          <w:szCs w:val="24"/>
        </w:rPr>
        <w:t>罗敏</w:t>
      </w:r>
      <w:bookmarkEnd w:id="0"/>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审核员：</w:t>
      </w:r>
      <w:r>
        <w:rPr>
          <w:rFonts w:hint="eastAsia" w:ascii="Times New Roman" w:hAnsi="Times New Roman" w:cs="Times New Roman"/>
          <w:sz w:val="24"/>
          <w:szCs w:val="24"/>
          <w:lang w:eastAsia="zh-CN"/>
        </w:rPr>
        <w:t>张心</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审核时间：2020年08月13日 </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366"/>
        <w:gridCol w:w="106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366"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065"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990"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366" w:type="dxa"/>
            <w:noWrap w:val="0"/>
            <w:vAlign w:val="top"/>
          </w:tcPr>
          <w:p>
            <w:pPr>
              <w:ind w:firstLine="420" w:firstLineChars="200"/>
              <w:rPr>
                <w:rFonts w:hint="eastAsia"/>
                <w:bCs/>
                <w:szCs w:val="21"/>
              </w:rPr>
            </w:pPr>
            <w:bookmarkStart w:id="1" w:name="组织名称"/>
            <w:r>
              <w:rPr>
                <w:color w:val="000000"/>
                <w:szCs w:val="21"/>
              </w:rPr>
              <w:t>广汉市汇通塑胶有限责任公司</w:t>
            </w:r>
            <w:bookmarkEnd w:id="1"/>
            <w:r>
              <w:rPr>
                <w:rFonts w:hint="eastAsia"/>
                <w:bCs/>
                <w:szCs w:val="21"/>
              </w:rPr>
              <w:t>是一家专业从事</w:t>
            </w:r>
            <w:bookmarkStart w:id="2" w:name="审核范围"/>
            <w:r>
              <w:rPr>
                <w:rFonts w:hint="eastAsia" w:ascii="宋体" w:hAnsi="宋体"/>
                <w:szCs w:val="21"/>
              </w:rPr>
              <w:t>聚乙烯吹塑包装桶(4.5L-200L)的生产</w:t>
            </w:r>
            <w:bookmarkEnd w:id="2"/>
            <w:r>
              <w:rPr>
                <w:rFonts w:hint="eastAsia"/>
                <w:bCs/>
                <w:szCs w:val="21"/>
              </w:rPr>
              <w:t>的公司。主要产品为：塑料包装桶</w:t>
            </w:r>
            <w:r>
              <w:rPr>
                <w:rFonts w:hint="eastAsia" w:ascii="宋体" w:hAnsi="宋体" w:cs="宋体"/>
                <w:color w:val="0000FF"/>
                <w:sz w:val="21"/>
                <w:szCs w:val="21"/>
              </w:rPr>
              <w:t>。</w:t>
            </w:r>
            <w:r>
              <w:rPr>
                <w:rFonts w:hint="eastAsia"/>
                <w:bCs/>
                <w:szCs w:val="21"/>
              </w:rPr>
              <w:t>产品广泛运用到</w:t>
            </w:r>
            <w:r>
              <w:rPr>
                <w:rFonts w:hint="eastAsia"/>
                <w:bCs/>
                <w:szCs w:val="21"/>
                <w:lang w:eastAsia="zh-CN"/>
              </w:rPr>
              <w:t>化学品</w:t>
            </w:r>
            <w:r>
              <w:rPr>
                <w:rFonts w:hint="eastAsia"/>
                <w:bCs/>
                <w:szCs w:val="21"/>
              </w:rPr>
              <w:t>产品包装</w:t>
            </w:r>
            <w:r>
              <w:rPr>
                <w:rFonts w:hint="eastAsia"/>
                <w:bCs/>
                <w:szCs w:val="21"/>
                <w:lang w:eastAsia="zh-CN"/>
              </w:rPr>
              <w:t>及食用油、酱油等食品塑料包装</w:t>
            </w:r>
            <w:r>
              <w:rPr>
                <w:rFonts w:hint="eastAsia"/>
                <w:bCs/>
                <w:szCs w:val="21"/>
              </w:rPr>
              <w:t>领域。</w:t>
            </w:r>
          </w:p>
          <w:p>
            <w:pPr>
              <w:ind w:firstLine="420" w:firstLineChars="200"/>
              <w:rPr>
                <w:rFonts w:hint="eastAsia" w:ascii="Times New Roman" w:hAnsi="Times New Roman" w:eastAsia="宋体" w:cs="Times New Roman"/>
                <w:sz w:val="24"/>
                <w:szCs w:val="24"/>
                <w:lang w:val="en-US" w:eastAsia="zh-CN"/>
              </w:rPr>
            </w:pPr>
            <w:r>
              <w:rPr>
                <w:rFonts w:hint="eastAsia"/>
                <w:bCs/>
                <w:szCs w:val="21"/>
                <w:lang w:val="en-US" w:eastAsia="zh-CN"/>
              </w:rPr>
              <w:t>该公司目前成立了四个部门：生产车间、质量管理部、技术设备部、</w:t>
            </w:r>
            <w:r>
              <w:rPr>
                <w:rFonts w:hint="eastAsia" w:ascii="Times New Roman" w:hAnsi="Times New Roman" w:eastAsia="宋体" w:cs="Times New Roman"/>
                <w:sz w:val="24"/>
                <w:szCs w:val="24"/>
                <w:lang w:val="en-US" w:eastAsia="zh-CN"/>
              </w:rPr>
              <w:t xml:space="preserve">综合管理及安全环保部 </w:t>
            </w:r>
          </w:p>
          <w:p>
            <w:pPr>
              <w:spacing w:line="400" w:lineRule="exact"/>
              <w:ind w:firstLine="420" w:firstLineChars="200"/>
              <w:jc w:val="left"/>
              <w:rPr>
                <w:rFonts w:hint="eastAsia" w:ascii="宋体" w:hAnsi="宋体"/>
                <w:sz w:val="21"/>
                <w:szCs w:val="21"/>
              </w:rPr>
            </w:pPr>
            <w:r>
              <w:rPr>
                <w:rFonts w:hint="eastAsia" w:ascii="宋体" w:hAnsi="宋体"/>
                <w:sz w:val="21"/>
                <w:szCs w:val="21"/>
              </w:rPr>
              <w:t>抽查：组织机构图、职能分配表、职责描述，基本保持一致。</w:t>
            </w:r>
          </w:p>
          <w:p>
            <w:pPr>
              <w:spacing w:line="400" w:lineRule="exact"/>
              <w:ind w:firstLine="420" w:firstLineChars="200"/>
              <w:jc w:val="left"/>
              <w:rPr>
                <w:rFonts w:hint="eastAsia" w:ascii="宋体" w:hAnsi="宋体"/>
                <w:szCs w:val="21"/>
              </w:rPr>
            </w:pPr>
            <w:r>
              <w:rPr>
                <w:rFonts w:hint="eastAsia" w:ascii="宋体" w:hAnsi="宋体"/>
                <w:szCs w:val="21"/>
              </w:rPr>
              <w:t>核实：</w:t>
            </w:r>
            <w:bookmarkStart w:id="3" w:name="生产地址"/>
            <w:r>
              <w:t>广汉市和兴镇万年村一社</w:t>
            </w:r>
            <w:bookmarkEnd w:id="3"/>
            <w:r>
              <w:rPr>
                <w:rFonts w:hint="eastAsia" w:ascii="宋体" w:hAnsi="宋体"/>
                <w:szCs w:val="21"/>
              </w:rPr>
              <w:t>，与任务书一致。</w:t>
            </w:r>
          </w:p>
          <w:p>
            <w:pPr>
              <w:spacing w:line="400" w:lineRule="exact"/>
              <w:ind w:firstLine="420" w:firstLineChars="200"/>
              <w:jc w:val="left"/>
              <w:rPr>
                <w:rFonts w:hint="eastAsia" w:ascii="宋体" w:hAnsi="宋体"/>
                <w:szCs w:val="21"/>
              </w:rPr>
            </w:pPr>
            <w:r>
              <w:rPr>
                <w:rFonts w:hint="eastAsia" w:ascii="宋体" w:hAnsi="宋体"/>
                <w:szCs w:val="21"/>
              </w:rPr>
              <w:t>经确认，认证范围为聚乙烯吹塑包装桶(4.5L-200L)的生产 ，与申请范围一致。</w:t>
            </w:r>
          </w:p>
          <w:p>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询问，主要设备为全自动中空成型吹塑机、</w:t>
            </w:r>
            <w:r>
              <w:rPr>
                <w:rFonts w:hint="eastAsia" w:ascii="宋体" w:hAnsi="宋体" w:eastAsia="宋体" w:cs="Times New Roman"/>
                <w:szCs w:val="21"/>
                <w:lang w:eastAsia="zh-CN"/>
              </w:rPr>
              <w:t>破</w:t>
            </w:r>
            <w:r>
              <w:rPr>
                <w:rFonts w:hint="eastAsia" w:ascii="宋体" w:hAnsi="宋体" w:eastAsia="宋体" w:cs="Times New Roman"/>
                <w:szCs w:val="21"/>
              </w:rPr>
              <w:t>粹机</w:t>
            </w:r>
            <w:r>
              <w:rPr>
                <w:rFonts w:hint="eastAsia" w:ascii="宋体" w:hAnsi="宋体" w:eastAsia="宋体" w:cs="Times New Roman"/>
                <w:szCs w:val="21"/>
                <w:lang w:eastAsia="zh-CN"/>
              </w:rPr>
              <w:t>、混料机、抽料机</w:t>
            </w:r>
            <w:r>
              <w:rPr>
                <w:rFonts w:hint="eastAsia" w:ascii="宋体" w:hAnsi="宋体" w:eastAsia="宋体" w:cs="Times New Roman"/>
                <w:szCs w:val="21"/>
              </w:rPr>
              <w:t>等。原材料主要为</w:t>
            </w:r>
            <w:r>
              <w:rPr>
                <w:rFonts w:hint="eastAsia" w:ascii="宋体" w:hAnsi="宋体" w:eastAsia="宋体" w:cs="Times New Roman"/>
                <w:szCs w:val="21"/>
                <w:lang w:eastAsia="zh-CN"/>
              </w:rPr>
              <w:t>低密度</w:t>
            </w:r>
            <w:r>
              <w:rPr>
                <w:rFonts w:hint="eastAsia" w:ascii="宋体" w:hAnsi="宋体" w:eastAsia="宋体" w:cs="Times New Roman"/>
                <w:szCs w:val="21"/>
              </w:rPr>
              <w:t>聚乙烯</w:t>
            </w:r>
            <w:r>
              <w:rPr>
                <w:rFonts w:hint="eastAsia" w:ascii="宋体" w:hAnsi="宋体" w:eastAsia="宋体" w:cs="Times New Roman"/>
                <w:szCs w:val="21"/>
                <w:lang w:eastAsia="zh-CN"/>
              </w:rPr>
              <w:t>树脂</w:t>
            </w:r>
            <w:r>
              <w:rPr>
                <w:rFonts w:hint="eastAsia" w:ascii="宋体" w:hAnsi="宋体" w:eastAsia="宋体" w:cs="Times New Roman"/>
                <w:szCs w:val="21"/>
              </w:rPr>
              <w:t>、</w:t>
            </w:r>
            <w:r>
              <w:rPr>
                <w:rFonts w:hint="eastAsia" w:ascii="宋体" w:hAnsi="宋体" w:eastAsia="宋体" w:cs="Times New Roman"/>
                <w:szCs w:val="21"/>
                <w:lang w:eastAsia="zh-CN"/>
              </w:rPr>
              <w:t>高密度</w:t>
            </w:r>
            <w:r>
              <w:rPr>
                <w:rFonts w:hint="eastAsia" w:ascii="宋体" w:hAnsi="宋体" w:eastAsia="宋体" w:cs="Times New Roman"/>
                <w:szCs w:val="21"/>
              </w:rPr>
              <w:t>聚乙烯</w:t>
            </w:r>
            <w:r>
              <w:rPr>
                <w:rFonts w:hint="eastAsia" w:ascii="宋体" w:hAnsi="宋体" w:eastAsia="宋体" w:cs="Times New Roman"/>
                <w:szCs w:val="21"/>
                <w:lang w:eastAsia="zh-CN"/>
              </w:rPr>
              <w:t>树脂、</w:t>
            </w:r>
            <w:r>
              <w:rPr>
                <w:rFonts w:hint="eastAsia" w:ascii="宋体" w:hAnsi="宋体" w:eastAsia="宋体" w:cs="Times New Roman"/>
                <w:szCs w:val="21"/>
              </w:rPr>
              <w:t>色母等。特殊过程:</w:t>
            </w:r>
            <w:r>
              <w:rPr>
                <w:rFonts w:hint="eastAsia" w:ascii="宋体" w:hAnsi="宋体" w:eastAsia="宋体" w:cs="Times New Roman"/>
                <w:szCs w:val="21"/>
                <w:lang w:eastAsia="zh-CN"/>
              </w:rPr>
              <w:t>挤出、</w:t>
            </w:r>
            <w:r>
              <w:rPr>
                <w:rFonts w:hint="eastAsia" w:ascii="宋体" w:hAnsi="宋体" w:eastAsia="宋体" w:cs="Times New Roman"/>
                <w:szCs w:val="21"/>
              </w:rPr>
              <w:t>吹塑</w:t>
            </w:r>
            <w:r>
              <w:rPr>
                <w:rFonts w:hint="eastAsia" w:ascii="宋体" w:hAnsi="宋体" w:eastAsia="宋体" w:cs="Times New Roman"/>
                <w:szCs w:val="21"/>
                <w:lang w:eastAsia="zh-CN"/>
              </w:rPr>
              <w:t>成型过程</w:t>
            </w:r>
          </w:p>
          <w:p>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体系运行时间：</w:t>
            </w:r>
            <w:r>
              <w:rPr>
                <w:rFonts w:hint="eastAsia" w:ascii="宋体" w:hAnsi="宋体" w:eastAsia="宋体" w:cs="Times New Roman"/>
                <w:szCs w:val="21"/>
                <w:lang w:eastAsia="zh-CN"/>
              </w:rPr>
              <w:t>2020年1月5日</w:t>
            </w:r>
          </w:p>
          <w:p>
            <w:pPr>
              <w:spacing w:line="400" w:lineRule="exact"/>
              <w:ind w:firstLine="420" w:firstLineChars="200"/>
              <w:jc w:val="left"/>
              <w:rPr>
                <w:rFonts w:hint="eastAsia"/>
                <w:sz w:val="21"/>
                <w:szCs w:val="21"/>
              </w:rPr>
            </w:pPr>
            <w:r>
              <w:rPr>
                <w:rFonts w:hint="eastAsia" w:ascii="宋体" w:hAnsi="宋体" w:cs="宋体"/>
                <w:sz w:val="21"/>
                <w:szCs w:val="21"/>
              </w:rPr>
              <w:t>组织实际与管理体系文件化信息描</w:t>
            </w:r>
            <w:r>
              <w:rPr>
                <w:rFonts w:hint="eastAsia"/>
                <w:sz w:val="21"/>
                <w:szCs w:val="21"/>
              </w:rPr>
              <w:t>述基本一致。有管理层、</w:t>
            </w:r>
            <w:r>
              <w:rPr>
                <w:rFonts w:hint="eastAsia"/>
                <w:sz w:val="21"/>
                <w:szCs w:val="21"/>
                <w:lang w:val="en-US" w:eastAsia="zh-CN"/>
              </w:rPr>
              <w:t xml:space="preserve">生产车间、质量管理部、技术设备部、综合管理及安全环保部 </w:t>
            </w:r>
            <w:r>
              <w:rPr>
                <w:rFonts w:hint="eastAsia"/>
                <w:sz w:val="21"/>
                <w:szCs w:val="21"/>
              </w:rPr>
              <w:t>。</w:t>
            </w:r>
          </w:p>
          <w:p>
            <w:pPr>
              <w:spacing w:line="400" w:lineRule="exact"/>
              <w:ind w:firstLine="420" w:firstLineChars="200"/>
              <w:rPr>
                <w:rFonts w:hint="eastAsia" w:ascii="宋体" w:hAnsi="宋体"/>
                <w:color w:val="000000"/>
                <w:sz w:val="21"/>
                <w:szCs w:val="21"/>
              </w:rPr>
            </w:pPr>
            <w:r>
              <w:rPr>
                <w:rFonts w:hint="eastAsia" w:ascii="宋体" w:hAnsi="宋体"/>
                <w:sz w:val="21"/>
                <w:szCs w:val="21"/>
              </w:rPr>
              <w:t>产品流程见《工艺流程》</w:t>
            </w:r>
          </w:p>
          <w:p>
            <w:pPr>
              <w:spacing w:line="400" w:lineRule="exact"/>
              <w:ind w:firstLine="420" w:firstLineChars="200"/>
              <w:jc w:val="left"/>
              <w:rPr>
                <w:rFonts w:hint="eastAsia" w:ascii="宋体" w:hAnsi="宋体"/>
                <w:kern w:val="44"/>
                <w:sz w:val="21"/>
                <w:szCs w:val="21"/>
              </w:rPr>
            </w:pPr>
            <w:r>
              <w:rPr>
                <w:rFonts w:hint="eastAsia" w:ascii="宋体" w:hAnsi="宋体"/>
                <w:color w:val="000000"/>
                <w:sz w:val="21"/>
                <w:szCs w:val="21"/>
              </w:rPr>
              <w:t>查，</w:t>
            </w:r>
            <w:r>
              <w:rPr>
                <w:rFonts w:hint="eastAsia"/>
                <w:sz w:val="21"/>
                <w:szCs w:val="21"/>
              </w:rPr>
              <w:t>管理体系文件名称</w:t>
            </w:r>
            <w:r>
              <w:rPr>
                <w:rFonts w:hint="eastAsia" w:ascii="宋体" w:hAnsi="宋体"/>
                <w:color w:val="000000"/>
                <w:sz w:val="21"/>
                <w:szCs w:val="21"/>
              </w:rPr>
              <w:t>：管理</w:t>
            </w:r>
            <w:r>
              <w:rPr>
                <w:rFonts w:ascii="宋体" w:hAnsi="宋体"/>
                <w:kern w:val="44"/>
                <w:sz w:val="21"/>
                <w:szCs w:val="21"/>
              </w:rPr>
              <w:t>手册</w:t>
            </w:r>
            <w:r>
              <w:rPr>
                <w:rFonts w:hint="eastAsia" w:ascii="宋体" w:hAnsi="宋体"/>
                <w:kern w:val="44"/>
                <w:sz w:val="21"/>
                <w:szCs w:val="21"/>
              </w:rPr>
              <w:t>，程序文件</w:t>
            </w:r>
            <w:r>
              <w:rPr>
                <w:rFonts w:hint="eastAsia" w:ascii="宋体" w:hAnsi="宋体"/>
                <w:kern w:val="44"/>
                <w:sz w:val="21"/>
                <w:szCs w:val="21"/>
                <w:lang w:val="en-US" w:eastAsia="zh-CN"/>
              </w:rPr>
              <w:t>22</w:t>
            </w:r>
            <w:r>
              <w:rPr>
                <w:rFonts w:hint="eastAsia" w:ascii="宋体" w:hAnsi="宋体"/>
                <w:kern w:val="44"/>
                <w:sz w:val="21"/>
                <w:szCs w:val="21"/>
              </w:rPr>
              <w:t>个</w:t>
            </w:r>
          </w:p>
          <w:p>
            <w:pPr>
              <w:spacing w:line="400" w:lineRule="exact"/>
              <w:ind w:firstLine="420" w:firstLineChars="200"/>
              <w:jc w:val="left"/>
              <w:rPr>
                <w:rFonts w:hint="eastAsia"/>
                <w:szCs w:val="22"/>
              </w:rPr>
            </w:pPr>
            <w:r>
              <w:rPr>
                <w:rFonts w:hint="eastAsia"/>
                <w:szCs w:val="22"/>
              </w:rPr>
              <w:t>查见《相关方要求识别和控制》</w:t>
            </w:r>
          </w:p>
          <w:p>
            <w:pPr>
              <w:spacing w:line="440" w:lineRule="exact"/>
              <w:ind w:firstLine="525" w:firstLineChars="250"/>
              <w:rPr>
                <w:rFonts w:hint="eastAsia"/>
                <w:sz w:val="21"/>
                <w:szCs w:val="21"/>
              </w:rPr>
            </w:pPr>
            <w:r>
              <w:rPr>
                <w:rFonts w:hint="eastAsia"/>
                <w:szCs w:val="22"/>
              </w:rPr>
              <w:t>相关方：有员工、银行、主管部门、供应商、客户等。</w:t>
            </w:r>
          </w:p>
        </w:tc>
        <w:tc>
          <w:tcPr>
            <w:tcW w:w="106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tc>
        <w:tc>
          <w:tcPr>
            <w:tcW w:w="990"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687" w:type="dxa"/>
            <w:noWrap w:val="0"/>
            <w:vAlign w:val="top"/>
          </w:tcPr>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相关法规</w:t>
            </w:r>
          </w:p>
          <w:p>
            <w:pPr>
              <w:widowControl/>
              <w:spacing w:line="400" w:lineRule="exact"/>
              <w:rPr>
                <w:rFonts w:hint="eastAsia" w:ascii="宋体" w:hAnsi="宋体" w:eastAsia="宋体" w:cs="Times New Roman"/>
                <w:sz w:val="21"/>
                <w:szCs w:val="21"/>
              </w:rPr>
            </w:pPr>
          </w:p>
          <w:p>
            <w:pPr>
              <w:widowControl/>
              <w:spacing w:line="400" w:lineRule="exact"/>
              <w:rPr>
                <w:rFonts w:hint="eastAsia" w:ascii="宋体" w:hAnsi="宋体" w:eastAsia="宋体" w:cs="Times New Roman"/>
                <w:sz w:val="21"/>
                <w:szCs w:val="21"/>
              </w:rPr>
            </w:pP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执行的产品标准（QMS）</w:t>
            </w:r>
          </w:p>
          <w:p>
            <w:pPr>
              <w:widowControl/>
              <w:spacing w:line="400" w:lineRule="exact"/>
              <w:rPr>
                <w:rFonts w:hint="eastAsia" w:ascii="宋体" w:hAnsi="宋体" w:eastAsia="宋体" w:cs="Times New Roman"/>
                <w:sz w:val="21"/>
                <w:szCs w:val="21"/>
              </w:rPr>
            </w:pPr>
          </w:p>
          <w:p>
            <w:pPr>
              <w:widowControl/>
              <w:spacing w:line="400" w:lineRule="exact"/>
              <w:rPr>
                <w:rFonts w:hint="eastAsia" w:ascii="宋体" w:hAnsi="宋体" w:eastAsia="宋体" w:cs="Times New Roman"/>
                <w:sz w:val="21"/>
                <w:szCs w:val="21"/>
              </w:rPr>
            </w:pPr>
          </w:p>
          <w:p>
            <w:pPr>
              <w:widowControl/>
              <w:spacing w:line="400" w:lineRule="exact"/>
              <w:rPr>
                <w:rFonts w:hint="eastAsia" w:ascii="宋体" w:hAnsi="宋体" w:eastAsia="宋体" w:cs="Times New Roman"/>
                <w:sz w:val="21"/>
                <w:szCs w:val="21"/>
              </w:rPr>
            </w:pP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产品质量监督抽查情况（QMS）</w:t>
            </w:r>
          </w:p>
        </w:tc>
        <w:tc>
          <w:tcPr>
            <w:tcW w:w="9366" w:type="dxa"/>
            <w:noWrap w:val="0"/>
            <w:vAlign w:val="top"/>
          </w:tcPr>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中华人民共和国合同法、中华人民共和国劳动法、中华人民共和国安全消防法、中华人民共和国产品质量法。</w:t>
            </w:r>
          </w:p>
          <w:p>
            <w:pPr>
              <w:widowControl/>
              <w:spacing w:line="400" w:lineRule="exact"/>
              <w:rPr>
                <w:rFonts w:hint="eastAsia" w:ascii="宋体" w:hAnsi="宋体" w:eastAsia="宋体" w:cs="Times New Roman"/>
                <w:sz w:val="21"/>
                <w:szCs w:val="21"/>
              </w:rPr>
            </w:pPr>
          </w:p>
          <w:p>
            <w:pPr>
              <w:widowControl/>
              <w:spacing w:line="400" w:lineRule="exact"/>
              <w:rPr>
                <w:rFonts w:hint="eastAsia" w:ascii="宋体" w:hAnsi="宋体" w:cs="Times New Roman"/>
                <w:sz w:val="21"/>
                <w:szCs w:val="21"/>
                <w:lang w:eastAsia="zh-CN"/>
              </w:rPr>
            </w:pPr>
            <w:r>
              <w:rPr>
                <w:rFonts w:hint="eastAsia" w:ascii="宋体" w:hAnsi="宋体" w:eastAsia="宋体" w:cs="Times New Roman"/>
                <w:sz w:val="21"/>
                <w:szCs w:val="21"/>
              </w:rPr>
              <w:t>聚乙烯吹</w:t>
            </w:r>
            <w:r>
              <w:rPr>
                <w:rFonts w:hint="eastAsia" w:ascii="宋体" w:hAnsi="宋体" w:cs="Times New Roman"/>
                <w:sz w:val="21"/>
                <w:szCs w:val="21"/>
                <w:lang w:eastAsia="zh-CN"/>
              </w:rPr>
              <w:t>容器</w:t>
            </w:r>
            <w:r>
              <w:rPr>
                <w:rFonts w:hint="eastAsia" w:ascii="宋体" w:hAnsi="宋体" w:eastAsia="宋体" w:cs="Times New Roman"/>
                <w:sz w:val="21"/>
                <w:szCs w:val="21"/>
              </w:rPr>
              <w:t xml:space="preserve"> </w:t>
            </w:r>
            <w:r>
              <w:rPr>
                <w:rFonts w:hint="eastAsia" w:ascii="宋体" w:hAnsi="宋体" w:cs="Times New Roman"/>
                <w:sz w:val="21"/>
                <w:szCs w:val="21"/>
                <w:lang w:val="en-US" w:eastAsia="zh-CN"/>
              </w:rPr>
              <w:t>GB/T13508-2011</w:t>
            </w:r>
            <w:r>
              <w:rPr>
                <w:rFonts w:hint="eastAsia" w:ascii="宋体" w:hAnsi="宋体" w:eastAsia="宋体" w:cs="Times New Roman"/>
                <w:sz w:val="21"/>
                <w:szCs w:val="21"/>
              </w:rPr>
              <w:t xml:space="preserve"> </w:t>
            </w:r>
            <w:r>
              <w:rPr>
                <w:rFonts w:hint="eastAsia" w:ascii="宋体" w:hAnsi="宋体" w:eastAsia="宋体" w:cs="Times New Roman"/>
                <w:sz w:val="21"/>
                <w:szCs w:val="21"/>
                <w:lang w:eastAsia="zh-CN"/>
              </w:rPr>
              <w:t>、</w:t>
            </w:r>
            <w:r>
              <w:rPr>
                <w:rFonts w:hint="eastAsia" w:ascii="宋体" w:hAnsi="宋体" w:eastAsia="宋体" w:cs="Times New Roman"/>
                <w:sz w:val="21"/>
                <w:szCs w:val="21"/>
              </w:rPr>
              <w:t>(X)XK12-001危险化学品包装物、容器产品生产许可证实施细则(一)(危险化学品包装物、容器产品部分</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包装容器 危险品包装用塑料桶 GB 18191-2008 </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日用塑料提桶 GB/T 30403-2013 </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包装容器 方桶 GB/T 17343-1998 </w:t>
            </w:r>
            <w:r>
              <w:rPr>
                <w:rFonts w:hint="eastAsia" w:ascii="宋体" w:hAnsi="宋体" w:eastAsia="宋体" w:cs="Times New Roman"/>
                <w:sz w:val="21"/>
                <w:szCs w:val="21"/>
                <w:lang w:eastAsia="zh-CN"/>
              </w:rPr>
              <w:t>等</w:t>
            </w:r>
            <w:r>
              <w:rPr>
                <w:rFonts w:hint="eastAsia" w:ascii="宋体" w:hAnsi="宋体" w:cs="Times New Roman"/>
                <w:sz w:val="21"/>
                <w:szCs w:val="21"/>
                <w:lang w:eastAsia="zh-CN"/>
              </w:rPr>
              <w:t>标准</w:t>
            </w:r>
          </w:p>
          <w:p>
            <w:pPr>
              <w:pStyle w:val="2"/>
              <w:rPr>
                <w:rFonts w:hint="eastAsia"/>
              </w:rPr>
            </w:pP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20</w:t>
            </w:r>
            <w:r>
              <w:rPr>
                <w:rFonts w:hint="eastAsia" w:ascii="宋体" w:hAnsi="宋体" w:eastAsia="宋体" w:cs="Times New Roman"/>
                <w:sz w:val="21"/>
                <w:szCs w:val="21"/>
                <w:lang w:val="en-US" w:eastAsia="zh-CN"/>
              </w:rPr>
              <w:t>20</w:t>
            </w:r>
            <w:r>
              <w:rPr>
                <w:rFonts w:hint="eastAsia" w:ascii="宋体" w:hAnsi="宋体" w:eastAsia="宋体" w:cs="Times New Roman"/>
                <w:sz w:val="21"/>
                <w:szCs w:val="21"/>
              </w:rPr>
              <w:t>年暂无抽检。</w:t>
            </w:r>
          </w:p>
        </w:tc>
        <w:tc>
          <w:tcPr>
            <w:tcW w:w="1065" w:type="dxa"/>
            <w:noWrap w:val="0"/>
            <w:vAlign w:val="top"/>
          </w:tcPr>
          <w:p>
            <w:pPr>
              <w:spacing w:line="440" w:lineRule="exact"/>
              <w:jc w:val="center"/>
              <w:rPr>
                <w:rFonts w:ascii="宋体" w:hAnsi="宋体"/>
                <w:sz w:val="21"/>
                <w:szCs w:val="21"/>
              </w:rPr>
            </w:pPr>
          </w:p>
        </w:tc>
        <w:tc>
          <w:tcPr>
            <w:tcW w:w="99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pStyle w:val="2"/>
              <w:rPr>
                <w:rFonts w:hint="eastAsia"/>
              </w:rPr>
            </w:pPr>
          </w:p>
          <w:p>
            <w:pPr>
              <w:pStyle w:val="2"/>
              <w:rPr>
                <w:rFonts w:hint="eastAsia"/>
              </w:rPr>
            </w:pPr>
          </w:p>
          <w:p>
            <w:pPr>
              <w:widowControl/>
              <w:spacing w:line="400" w:lineRule="exact"/>
              <w:rPr>
                <w:rFonts w:hint="eastAsia" w:ascii="宋体" w:hAnsi="宋体"/>
                <w:sz w:val="21"/>
                <w:szCs w:val="21"/>
              </w:rPr>
            </w:pPr>
            <w:r>
              <w:rPr>
                <w:rFonts w:hint="eastAsia" w:ascii="宋体" w:hAnsi="宋体"/>
                <w:sz w:val="21"/>
                <w:szCs w:val="21"/>
              </w:rPr>
              <w:t>外包的识别</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366" w:type="dxa"/>
            <w:noWrap w:val="0"/>
            <w:vAlign w:val="top"/>
          </w:tcPr>
          <w:p>
            <w:pPr>
              <w:jc w:val="both"/>
              <w:rPr>
                <w:rFonts w:hint="eastAsia" w:ascii="Times New Roman" w:hAnsi="Times New Roman" w:eastAsia="宋体" w:cs="Times New Roman"/>
                <w:szCs w:val="22"/>
              </w:rPr>
            </w:pPr>
            <w:r>
              <w:rPr>
                <w:rFonts w:hint="eastAsia" w:ascii="Times New Roman" w:hAnsi="Times New Roman" w:eastAsia="宋体" w:cs="Times New Roman"/>
                <w:szCs w:val="22"/>
              </w:rPr>
              <w:t>产品</w:t>
            </w:r>
            <w:r>
              <w:rPr>
                <w:rFonts w:hint="eastAsia" w:ascii="Times New Roman" w:hAnsi="Times New Roman" w:eastAsia="宋体" w:cs="Times New Roman"/>
                <w:szCs w:val="22"/>
                <w:lang w:eastAsia="zh-CN"/>
              </w:rPr>
              <w:t>生产工艺</w:t>
            </w:r>
            <w:r>
              <w:rPr>
                <w:rFonts w:hint="eastAsia" w:ascii="Times New Roman" w:hAnsi="Times New Roman" w:eastAsia="宋体" w:cs="Times New Roman"/>
                <w:szCs w:val="22"/>
              </w:rPr>
              <w:t>流程</w:t>
            </w:r>
          </w:p>
          <w:p>
            <w:pPr>
              <w:jc w:val="both"/>
              <w:rPr>
                <w:rFonts w:hint="eastAsia" w:ascii="Times New Roman" w:hAnsi="Times New Roman" w:eastAsia="宋体" w:cs="Times New Roman"/>
                <w:szCs w:val="22"/>
                <w:lang w:eastAsia="zh-CN"/>
              </w:rPr>
            </w:pPr>
            <w:r>
              <w:rPr>
                <w:rFonts w:hint="eastAsia" w:ascii="Times New Roman" w:hAnsi="Times New Roman" w:eastAsia="宋体" w:cs="Times New Roman"/>
                <w:szCs w:val="22"/>
              </w:rPr>
              <w:t>原料（聚乙烯+色母）</w:t>
            </w:r>
            <w:r>
              <w:rPr>
                <w:rFonts w:hint="eastAsia" w:ascii="Times New Roman" w:hAnsi="Times New Roman" w:eastAsia="宋体" w:cs="Times New Roman"/>
                <w:szCs w:val="22"/>
                <w:lang w:eastAsia="zh-CN"/>
              </w:rPr>
              <w:t>配料混合</w:t>
            </w:r>
            <w:r>
              <w:rPr>
                <w:rFonts w:hint="eastAsia" w:ascii="Times New Roman" w:hAnsi="Times New Roman" w:eastAsia="宋体" w:cs="Times New Roman"/>
                <w:szCs w:val="22"/>
              </w:rPr>
              <w:t>——熔融——</w:t>
            </w:r>
            <w:r>
              <w:rPr>
                <w:rFonts w:hint="eastAsia" w:ascii="Times New Roman" w:hAnsi="Times New Roman" w:eastAsia="宋体" w:cs="Times New Roman"/>
                <w:szCs w:val="22"/>
                <w:lang w:val="en-US" w:eastAsia="zh-CN"/>
              </w:rPr>
              <w:t>挤压型胚</w:t>
            </w:r>
            <w:r>
              <w:rPr>
                <w:rFonts w:hint="eastAsia" w:ascii="Times New Roman" w:hAnsi="Times New Roman" w:eastAsia="宋体" w:cs="Times New Roman"/>
                <w:szCs w:val="22"/>
              </w:rPr>
              <w:t>——吹塑成型——</w:t>
            </w:r>
            <w:r>
              <w:rPr>
                <w:rFonts w:hint="eastAsia" w:ascii="Times New Roman" w:hAnsi="Times New Roman" w:eastAsia="宋体" w:cs="Times New Roman"/>
                <w:szCs w:val="22"/>
                <w:lang w:eastAsia="zh-CN"/>
              </w:rPr>
              <w:t>修边</w:t>
            </w:r>
            <w:r>
              <w:rPr>
                <w:rFonts w:hint="eastAsia" w:ascii="Times New Roman" w:hAnsi="Times New Roman" w:eastAsia="宋体" w:cs="Times New Roman"/>
                <w:szCs w:val="22"/>
              </w:rPr>
              <w:t>——</w:t>
            </w:r>
            <w:r>
              <w:rPr>
                <w:rFonts w:hint="eastAsia" w:ascii="Times New Roman" w:hAnsi="Times New Roman" w:eastAsia="宋体" w:cs="Times New Roman"/>
                <w:szCs w:val="22"/>
                <w:lang w:eastAsia="zh-CN"/>
              </w:rPr>
              <w:t>检验</w:t>
            </w:r>
          </w:p>
          <w:p>
            <w:pPr>
              <w:jc w:val="both"/>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关键过程及特殊过程：挤出、</w:t>
            </w:r>
            <w:r>
              <w:rPr>
                <w:rFonts w:hint="eastAsia" w:ascii="Times New Roman" w:hAnsi="Times New Roman" w:eastAsia="宋体" w:cs="Times New Roman"/>
                <w:szCs w:val="22"/>
              </w:rPr>
              <w:t>吹塑成型</w:t>
            </w:r>
            <w:r>
              <w:rPr>
                <w:rFonts w:hint="eastAsia" w:ascii="Times New Roman" w:hAnsi="Times New Roman" w:eastAsia="宋体" w:cs="Times New Roman"/>
                <w:szCs w:val="22"/>
                <w:lang w:eastAsia="zh-CN"/>
              </w:rPr>
              <w:t>过程</w:t>
            </w:r>
          </w:p>
          <w:p>
            <w:pPr>
              <w:pStyle w:val="2"/>
              <w:rPr>
                <w:rFonts w:hint="eastAsia"/>
                <w:lang w:eastAsia="zh-CN"/>
              </w:rPr>
            </w:pPr>
          </w:p>
          <w:p>
            <w:pPr>
              <w:jc w:val="both"/>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公司产品均按相关标准及客户技术要求、规范进行生产。生产工艺成熟固定，产品型号、外形固定，自体系建立以来配方未有更改过。生产过程不涉及标准中“8.3设计和开发”条款内容，8.3条款不适用不影响组织提供满足顾客要求和适用法律法规要求的产品的能力或责任的要求。</w:t>
            </w:r>
          </w:p>
          <w:p>
            <w:pPr>
              <w:pStyle w:val="2"/>
              <w:rPr>
                <w:rFonts w:hint="eastAsia"/>
              </w:rPr>
            </w:pPr>
          </w:p>
          <w:p>
            <w:pPr>
              <w:widowControl/>
              <w:spacing w:line="400" w:lineRule="exact"/>
              <w:rPr>
                <w:rFonts w:hint="eastAsia" w:ascii="宋体" w:hAnsi="宋体" w:eastAsia="宋体"/>
                <w:sz w:val="21"/>
                <w:szCs w:val="21"/>
                <w:lang w:eastAsia="zh-CN"/>
              </w:rPr>
            </w:pPr>
            <w:r>
              <w:rPr>
                <w:rFonts w:hint="eastAsia" w:ascii="宋体" w:hAnsi="宋体"/>
                <w:sz w:val="21"/>
                <w:szCs w:val="21"/>
                <w:lang w:eastAsia="zh-CN"/>
              </w:rPr>
              <w:t>模具制作</w:t>
            </w:r>
          </w:p>
          <w:p>
            <w:pPr>
              <w:pStyle w:val="6"/>
              <w:spacing w:before="0" w:beforeAutospacing="0" w:after="0" w:afterAutospacing="0" w:line="50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一次交验合格率≥95%</w:t>
            </w:r>
          </w:p>
          <w:p>
            <w:pPr>
              <w:pStyle w:val="6"/>
              <w:spacing w:before="0" w:beforeAutospacing="0" w:after="0" w:afterAutospacing="0" w:line="50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产品出厂合格率100%</w:t>
            </w:r>
          </w:p>
          <w:p>
            <w:pPr>
              <w:pStyle w:val="6"/>
              <w:spacing w:before="0" w:beforeAutospacing="0" w:after="0" w:afterAutospacing="0" w:line="50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顾客满意度95分以上</w:t>
            </w:r>
          </w:p>
          <w:p>
            <w:pPr>
              <w:widowControl/>
              <w:spacing w:line="400" w:lineRule="exact"/>
              <w:rPr>
                <w:rFonts w:hint="eastAsia" w:ascii="宋体" w:hAnsi="宋体"/>
                <w:sz w:val="21"/>
                <w:szCs w:val="21"/>
              </w:rPr>
            </w:pPr>
          </w:p>
        </w:tc>
        <w:tc>
          <w:tcPr>
            <w:tcW w:w="1065" w:type="dxa"/>
            <w:noWrap w:val="0"/>
            <w:vAlign w:val="top"/>
          </w:tcPr>
          <w:p>
            <w:pPr>
              <w:spacing w:line="440" w:lineRule="exact"/>
              <w:jc w:val="center"/>
              <w:rPr>
                <w:rFonts w:ascii="宋体" w:hAnsi="宋体"/>
                <w:sz w:val="21"/>
                <w:szCs w:val="21"/>
              </w:rPr>
            </w:pPr>
          </w:p>
        </w:tc>
        <w:tc>
          <w:tcPr>
            <w:tcW w:w="99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366" w:type="dxa"/>
            <w:noWrap w:val="0"/>
            <w:vAlign w:val="top"/>
          </w:tcPr>
          <w:p>
            <w:pPr>
              <w:spacing w:line="400" w:lineRule="exact"/>
              <w:rPr>
                <w:rFonts w:hint="eastAsia" w:ascii="宋体" w:hAnsi="宋体"/>
                <w:sz w:val="21"/>
                <w:szCs w:val="21"/>
              </w:rPr>
            </w:pPr>
            <w:r>
              <w:rPr>
                <w:rFonts w:hint="eastAsia" w:ascii="宋体" w:hAnsi="宋体"/>
                <w:sz w:val="21"/>
                <w:szCs w:val="21"/>
              </w:rPr>
              <w:t>无</w:t>
            </w:r>
          </w:p>
          <w:p>
            <w:pPr>
              <w:spacing w:line="400" w:lineRule="exact"/>
              <w:rPr>
                <w:rFonts w:hint="eastAsia"/>
                <w:sz w:val="21"/>
                <w:szCs w:val="21"/>
              </w:rPr>
            </w:pPr>
            <w:r>
              <w:rPr>
                <w:rFonts w:hint="eastAsia" w:ascii="宋体" w:hAnsi="宋体" w:eastAsia="宋体" w:cs="Times New Roman"/>
                <w:sz w:val="21"/>
                <w:szCs w:val="21"/>
                <w:lang w:eastAsia="zh-CN"/>
              </w:rPr>
              <w:t>聚乙烯</w:t>
            </w:r>
            <w:r>
              <w:rPr>
                <w:rFonts w:hint="eastAsia" w:ascii="宋体" w:hAnsi="宋体" w:eastAsia="宋体" w:cs="Times New Roman"/>
                <w:sz w:val="21"/>
                <w:szCs w:val="21"/>
              </w:rPr>
              <w:t>、色母</w:t>
            </w:r>
          </w:p>
        </w:tc>
        <w:tc>
          <w:tcPr>
            <w:tcW w:w="1065" w:type="dxa"/>
            <w:noWrap w:val="0"/>
            <w:vAlign w:val="top"/>
          </w:tcPr>
          <w:p>
            <w:pPr>
              <w:spacing w:line="440" w:lineRule="exact"/>
              <w:jc w:val="center"/>
              <w:rPr>
                <w:rFonts w:ascii="宋体" w:hAnsi="宋体"/>
                <w:sz w:val="21"/>
                <w:szCs w:val="21"/>
              </w:rPr>
            </w:pPr>
          </w:p>
        </w:tc>
        <w:tc>
          <w:tcPr>
            <w:tcW w:w="99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687"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u w:val="single"/>
              </w:rPr>
            </w:pPr>
          </w:p>
          <w:p>
            <w:pPr>
              <w:spacing w:line="400" w:lineRule="exact"/>
              <w:rPr>
                <w:rFonts w:hint="eastAsia"/>
                <w:sz w:val="21"/>
                <w:szCs w:val="21"/>
              </w:rPr>
            </w:pPr>
            <w:r>
              <w:rPr>
                <w:rFonts w:hint="eastAsia"/>
                <w:sz w:val="21"/>
                <w:szCs w:val="21"/>
              </w:rPr>
              <w:t>关键岗位持证上岗人员</w:t>
            </w:r>
          </w:p>
          <w:p>
            <w:pPr>
              <w:spacing w:line="400" w:lineRule="exact"/>
              <w:rPr>
                <w:rFonts w:hint="eastAsia"/>
                <w:sz w:val="21"/>
                <w:szCs w:val="21"/>
              </w:rPr>
            </w:pPr>
            <w:r>
              <w:rPr>
                <w:rFonts w:hint="eastAsia"/>
                <w:sz w:val="21"/>
                <w:szCs w:val="21"/>
              </w:rPr>
              <w:t>特殊工种人员</w:t>
            </w:r>
          </w:p>
        </w:tc>
        <w:tc>
          <w:tcPr>
            <w:tcW w:w="9366" w:type="dxa"/>
            <w:noWrap w:val="0"/>
            <w:vAlign w:val="top"/>
          </w:tcPr>
          <w:p>
            <w:pPr>
              <w:spacing w:line="400" w:lineRule="exact"/>
              <w:rPr>
                <w:rFonts w:hint="eastAsia"/>
                <w:sz w:val="21"/>
                <w:szCs w:val="21"/>
              </w:rPr>
            </w:pPr>
            <w:r>
              <w:rPr>
                <w:rFonts w:hint="eastAsia"/>
                <w:sz w:val="21"/>
                <w:szCs w:val="21"/>
                <w:lang w:val="en-US" w:eastAsia="zh-CN"/>
              </w:rPr>
              <w:t>76</w:t>
            </w:r>
            <w:r>
              <w:rPr>
                <w:rFonts w:hint="eastAsia"/>
                <w:sz w:val="21"/>
                <w:szCs w:val="21"/>
              </w:rPr>
              <w:t>人</w:t>
            </w:r>
          </w:p>
          <w:p>
            <w:pPr>
              <w:spacing w:line="400" w:lineRule="exact"/>
              <w:rPr>
                <w:rFonts w:hint="eastAsia"/>
                <w:sz w:val="21"/>
                <w:szCs w:val="21"/>
              </w:rPr>
            </w:pPr>
          </w:p>
          <w:p>
            <w:pPr>
              <w:spacing w:line="400" w:lineRule="exact"/>
              <w:rPr>
                <w:rFonts w:hint="eastAsia"/>
                <w:sz w:val="21"/>
                <w:szCs w:val="21"/>
              </w:rPr>
            </w:pPr>
            <w:r>
              <w:rPr>
                <w:rFonts w:hint="eastAsia"/>
                <w:sz w:val="21"/>
                <w:szCs w:val="21"/>
              </w:rPr>
              <w:t>检验员</w:t>
            </w:r>
          </w:p>
          <w:p>
            <w:pPr>
              <w:spacing w:line="400" w:lineRule="exact"/>
              <w:rPr>
                <w:rFonts w:hint="eastAsia"/>
                <w:sz w:val="21"/>
                <w:szCs w:val="21"/>
              </w:rPr>
            </w:pPr>
            <w:r>
              <w:rPr>
                <w:rFonts w:hint="eastAsia"/>
                <w:sz w:val="21"/>
                <w:szCs w:val="21"/>
              </w:rPr>
              <w:t>无</w:t>
            </w:r>
          </w:p>
        </w:tc>
        <w:tc>
          <w:tcPr>
            <w:tcW w:w="1065" w:type="dxa"/>
            <w:noWrap w:val="0"/>
            <w:vAlign w:val="top"/>
          </w:tcPr>
          <w:p>
            <w:pPr>
              <w:spacing w:line="440" w:lineRule="exact"/>
              <w:jc w:val="center"/>
              <w:rPr>
                <w:rFonts w:ascii="宋体" w:hAnsi="宋体"/>
                <w:sz w:val="21"/>
                <w:szCs w:val="21"/>
              </w:rPr>
            </w:pPr>
          </w:p>
        </w:tc>
        <w:tc>
          <w:tcPr>
            <w:tcW w:w="99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主要生产设备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特种设备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主要检测设备及设备的检定/校准（QMS）</w:t>
            </w:r>
          </w:p>
        </w:tc>
        <w:tc>
          <w:tcPr>
            <w:tcW w:w="9366" w:type="dxa"/>
            <w:noWrap w:val="0"/>
            <w:vAlign w:val="top"/>
          </w:tcPr>
          <w:p>
            <w:pPr>
              <w:spacing w:line="400" w:lineRule="exact"/>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中空成型吹塑机、破粹机、混料机、抽料机等</w:t>
            </w:r>
          </w:p>
          <w:p>
            <w:pPr>
              <w:spacing w:line="400" w:lineRule="exact"/>
              <w:rPr>
                <w:rFonts w:hint="eastAsia" w:ascii="宋体" w:hAnsi="宋体" w:cs="宋体"/>
                <w:sz w:val="21"/>
                <w:szCs w:val="21"/>
              </w:rPr>
            </w:pPr>
          </w:p>
          <w:p>
            <w:pPr>
              <w:pStyle w:val="2"/>
              <w:rPr>
                <w:rFonts w:hint="eastAsia" w:eastAsia="宋体"/>
                <w:lang w:val="en-US" w:eastAsia="zh-CN"/>
              </w:rPr>
            </w:pPr>
            <w:r>
              <w:rPr>
                <w:rFonts w:hint="eastAsia" w:ascii="宋体" w:hAnsi="宋体" w:eastAsia="宋体" w:cs="宋体"/>
                <w:sz w:val="21"/>
                <w:szCs w:val="21"/>
                <w:lang w:val="en-US" w:eastAsia="zh-CN"/>
              </w:rPr>
              <w:t>桥式起重机2台</w:t>
            </w:r>
            <w:r>
              <w:rPr>
                <w:rFonts w:hint="eastAsia" w:ascii="宋体" w:hAnsi="宋体" w:cs="宋体"/>
                <w:sz w:val="21"/>
                <w:szCs w:val="21"/>
                <w:lang w:val="en-US" w:eastAsia="zh-CN"/>
              </w:rPr>
              <w:t>（10T、5T）、叉车三台、压力容器一个（储气罐、安全阀）提供有效年检报告。（负责人讲公司的特种设备系四川省运通化工有限公司租赁给</w:t>
            </w:r>
            <w:r>
              <w:rPr>
                <w:color w:val="000000"/>
                <w:szCs w:val="21"/>
              </w:rPr>
              <w:t>广汉市汇通塑胶有限责任公司</w:t>
            </w:r>
            <w:r>
              <w:rPr>
                <w:rFonts w:hint="eastAsia"/>
                <w:color w:val="000000"/>
                <w:szCs w:val="21"/>
                <w:lang w:eastAsia="zh-CN"/>
              </w:rPr>
              <w:t>，故所有特种设备</w:t>
            </w:r>
            <w:r>
              <w:rPr>
                <w:rFonts w:hint="eastAsia" w:ascii="宋体" w:hAnsi="宋体" w:cs="宋体"/>
                <w:sz w:val="21"/>
                <w:szCs w:val="21"/>
                <w:lang w:val="en-US" w:eastAsia="zh-CN"/>
              </w:rPr>
              <w:t>年检报告上使用单位名称为四川省运通化工有限公司，附说明一份，见附件）</w:t>
            </w:r>
            <w:bookmarkStart w:id="4" w:name="_GoBack"/>
            <w:bookmarkEnd w:id="4"/>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eastAsia="宋体" w:cs="宋体"/>
                <w:sz w:val="21"/>
                <w:szCs w:val="21"/>
              </w:rPr>
              <w:t>配置有</w:t>
            </w:r>
            <w:r>
              <w:rPr>
                <w:rFonts w:hint="eastAsia" w:ascii="宋体" w:hAnsi="宋体" w:eastAsia="宋体" w:cs="宋体"/>
                <w:sz w:val="21"/>
                <w:szCs w:val="21"/>
                <w:lang w:eastAsia="zh-CN"/>
              </w:rPr>
              <w:t>压力表、数显卡尺、电子秤和钢直尺、数显调节仪、工业铂电阻</w:t>
            </w:r>
            <w:r>
              <w:rPr>
                <w:rFonts w:hint="eastAsia" w:ascii="宋体" w:hAnsi="宋体" w:eastAsia="宋体" w:cs="宋体"/>
                <w:sz w:val="21"/>
                <w:szCs w:val="21"/>
              </w:rPr>
              <w:t>等，能提供有效检定证书。</w:t>
            </w:r>
          </w:p>
        </w:tc>
        <w:tc>
          <w:tcPr>
            <w:tcW w:w="1065" w:type="dxa"/>
            <w:noWrap w:val="0"/>
            <w:vAlign w:val="top"/>
          </w:tcPr>
          <w:p>
            <w:pPr>
              <w:spacing w:line="440" w:lineRule="exact"/>
              <w:jc w:val="center"/>
              <w:rPr>
                <w:rFonts w:hint="eastAsia" w:ascii="宋体" w:hAnsi="宋体"/>
                <w:color w:val="0000FF"/>
                <w:sz w:val="21"/>
                <w:szCs w:val="21"/>
              </w:rPr>
            </w:pPr>
          </w:p>
          <w:p>
            <w:pPr>
              <w:spacing w:line="440" w:lineRule="exact"/>
              <w:jc w:val="center"/>
              <w:rPr>
                <w:rFonts w:hint="eastAsia" w:ascii="宋体" w:hAnsi="宋体"/>
                <w:color w:val="0000FF"/>
                <w:sz w:val="21"/>
                <w:szCs w:val="21"/>
              </w:rPr>
            </w:pPr>
          </w:p>
          <w:p>
            <w:pPr>
              <w:spacing w:line="440" w:lineRule="exact"/>
              <w:jc w:val="center"/>
              <w:rPr>
                <w:rFonts w:hint="eastAsia" w:ascii="宋体" w:hAnsi="宋体"/>
                <w:color w:val="0000FF"/>
                <w:sz w:val="21"/>
                <w:szCs w:val="21"/>
              </w:rPr>
            </w:pPr>
          </w:p>
          <w:p>
            <w:pPr>
              <w:spacing w:line="440" w:lineRule="exact"/>
              <w:jc w:val="center"/>
              <w:rPr>
                <w:rFonts w:hint="eastAsia" w:ascii="宋体" w:hAnsi="宋体"/>
                <w:color w:val="0000FF"/>
                <w:sz w:val="21"/>
                <w:szCs w:val="21"/>
              </w:rPr>
            </w:pPr>
          </w:p>
          <w:p>
            <w:pPr>
              <w:spacing w:line="440" w:lineRule="exact"/>
              <w:jc w:val="center"/>
              <w:rPr>
                <w:rFonts w:ascii="宋体" w:hAnsi="宋体"/>
                <w:color w:val="0000FF"/>
                <w:sz w:val="21"/>
                <w:szCs w:val="21"/>
              </w:rPr>
            </w:pPr>
          </w:p>
        </w:tc>
        <w:tc>
          <w:tcPr>
            <w:tcW w:w="990" w:type="dxa"/>
            <w:noWrap w:val="0"/>
            <w:vAlign w:val="top"/>
          </w:tcPr>
          <w:p>
            <w:pPr>
              <w:spacing w:line="440" w:lineRule="exact"/>
              <w:jc w:val="center"/>
              <w:rPr>
                <w:rFonts w:hint="eastAsia" w:ascii="宋体" w:hAnsi="宋体"/>
                <w:color w:val="0000FF"/>
                <w:sz w:val="21"/>
                <w:szCs w:val="21"/>
              </w:rPr>
            </w:pPr>
          </w:p>
          <w:p>
            <w:pPr>
              <w:spacing w:line="440" w:lineRule="exact"/>
              <w:jc w:val="center"/>
              <w:rPr>
                <w:rFonts w:hint="eastAsia" w:ascii="宋体" w:hAnsi="宋体"/>
                <w:color w:val="0000FF"/>
                <w:sz w:val="21"/>
                <w:szCs w:val="21"/>
              </w:rPr>
            </w:pPr>
          </w:p>
          <w:p>
            <w:pPr>
              <w:spacing w:line="440" w:lineRule="exact"/>
              <w:jc w:val="center"/>
              <w:rPr>
                <w:rFonts w:hint="eastAsia" w:ascii="宋体" w:hAnsi="宋体"/>
                <w:color w:val="0000FF"/>
                <w:sz w:val="21"/>
                <w:szCs w:val="21"/>
              </w:rPr>
            </w:pPr>
          </w:p>
          <w:p>
            <w:pPr>
              <w:spacing w:line="440" w:lineRule="exact"/>
              <w:jc w:val="center"/>
              <w:rPr>
                <w:rFonts w:hint="eastAsia" w:ascii="宋体" w:hAnsi="宋体"/>
                <w:color w:val="0000FF"/>
                <w:sz w:val="21"/>
                <w:szCs w:val="21"/>
              </w:rPr>
            </w:pPr>
          </w:p>
          <w:p>
            <w:pPr>
              <w:spacing w:line="440" w:lineRule="exact"/>
              <w:jc w:val="center"/>
              <w:rPr>
                <w:rFonts w:ascii="宋体" w:hAnsi="宋体"/>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366" w:type="dxa"/>
            <w:noWrap w:val="0"/>
            <w:vAlign w:val="top"/>
          </w:tcPr>
          <w:p>
            <w:pPr>
              <w:spacing w:line="400" w:lineRule="exact"/>
              <w:rPr>
                <w:rFonts w:hint="eastAsia"/>
                <w:sz w:val="21"/>
                <w:szCs w:val="21"/>
              </w:rPr>
            </w:pPr>
            <w:r>
              <w:rPr>
                <w:rFonts w:hint="eastAsia"/>
                <w:sz w:val="21"/>
                <w:szCs w:val="21"/>
              </w:rPr>
              <w:t>暂无</w:t>
            </w:r>
          </w:p>
        </w:tc>
        <w:tc>
          <w:tcPr>
            <w:tcW w:w="1065" w:type="dxa"/>
            <w:noWrap w:val="0"/>
            <w:vAlign w:val="top"/>
          </w:tcPr>
          <w:p>
            <w:pPr>
              <w:spacing w:line="440" w:lineRule="exact"/>
              <w:jc w:val="center"/>
              <w:rPr>
                <w:rFonts w:ascii="宋体" w:hAnsi="宋体"/>
                <w:sz w:val="21"/>
                <w:szCs w:val="21"/>
              </w:rPr>
            </w:pPr>
          </w:p>
        </w:tc>
        <w:tc>
          <w:tcPr>
            <w:tcW w:w="99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366" w:type="dxa"/>
            <w:noWrap w:val="0"/>
            <w:vAlign w:val="top"/>
          </w:tcPr>
          <w:p>
            <w:pPr>
              <w:spacing w:line="400" w:lineRule="exact"/>
              <w:rPr>
                <w:rFonts w:hint="eastAsia"/>
                <w:sz w:val="21"/>
                <w:szCs w:val="21"/>
              </w:rPr>
            </w:pPr>
            <w:r>
              <w:rPr>
                <w:rFonts w:hint="eastAsia" w:ascii="Times New Roman" w:hAnsi="Times New Roman" w:eastAsia="宋体" w:cs="Times New Roman"/>
                <w:sz w:val="21"/>
                <w:szCs w:val="21"/>
              </w:rPr>
              <w:t>方针：</w:t>
            </w:r>
            <w:r>
              <w:rPr>
                <w:rFonts w:hint="eastAsia" w:ascii="Times New Roman" w:hAnsi="Times New Roman" w:eastAsia="宋体" w:cs="Times New Roman"/>
                <w:sz w:val="21"/>
                <w:szCs w:val="21"/>
                <w:lang w:eastAsia="zh-CN"/>
              </w:rPr>
              <w:t>质量第一、价格最优、服务周到、顾客至上</w:t>
            </w:r>
          </w:p>
        </w:tc>
        <w:tc>
          <w:tcPr>
            <w:tcW w:w="1065" w:type="dxa"/>
            <w:noWrap w:val="0"/>
            <w:vAlign w:val="top"/>
          </w:tcPr>
          <w:p>
            <w:pPr>
              <w:spacing w:line="440" w:lineRule="exact"/>
              <w:jc w:val="center"/>
              <w:rPr>
                <w:rFonts w:ascii="宋体" w:hAnsi="宋体"/>
                <w:sz w:val="21"/>
                <w:szCs w:val="21"/>
              </w:rPr>
            </w:pPr>
          </w:p>
        </w:tc>
        <w:tc>
          <w:tcPr>
            <w:tcW w:w="99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366" w:type="dxa"/>
            <w:noWrap w:val="0"/>
            <w:vAlign w:val="top"/>
          </w:tcPr>
          <w:p>
            <w:pPr>
              <w:spacing w:line="400" w:lineRule="exact"/>
              <w:rPr>
                <w:rFonts w:hint="eastAsia"/>
                <w:sz w:val="21"/>
                <w:szCs w:val="21"/>
              </w:rPr>
            </w:pPr>
            <w:r>
              <w:rPr>
                <w:rFonts w:hint="eastAsia"/>
                <w:sz w:val="21"/>
                <w:szCs w:val="21"/>
              </w:rPr>
              <w:t>建立有《内部审核控制程序》</w:t>
            </w:r>
          </w:p>
          <w:p>
            <w:pPr>
              <w:spacing w:line="400" w:lineRule="exact"/>
              <w:rPr>
                <w:rFonts w:hint="eastAsia"/>
                <w:sz w:val="21"/>
                <w:szCs w:val="21"/>
              </w:rPr>
            </w:pPr>
            <w:r>
              <w:rPr>
                <w:rFonts w:hint="eastAsia"/>
                <w:sz w:val="21"/>
                <w:szCs w:val="21"/>
              </w:rPr>
              <w:t xml:space="preserve">见有《内部审核计划表》 </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内审时间：</w:t>
            </w:r>
            <w:r>
              <w:rPr>
                <w:rFonts w:hint="eastAsia" w:ascii="Times New Roman" w:hAnsi="Times New Roman" w:eastAsia="宋体" w:cs="Times New Roman"/>
                <w:sz w:val="21"/>
                <w:szCs w:val="21"/>
                <w:lang w:val="en-US" w:eastAsia="zh-CN"/>
              </w:rPr>
              <w:t>2020</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20</w:t>
            </w:r>
            <w:r>
              <w:rPr>
                <w:rFonts w:hint="eastAsia" w:ascii="Times New Roman" w:hAnsi="Times New Roman" w:eastAsia="宋体" w:cs="Times New Roman"/>
                <w:sz w:val="21"/>
                <w:szCs w:val="21"/>
                <w:lang w:eastAsia="zh-CN"/>
              </w:rPr>
              <w:t>日</w:t>
            </w:r>
          </w:p>
          <w:p>
            <w:pPr>
              <w:spacing w:line="400" w:lineRule="exact"/>
              <w:rPr>
                <w:rFonts w:hint="eastAsia" w:ascii="宋体" w:hAnsi="宋体" w:eastAsia="宋体" w:cs="Times New Roman"/>
                <w:sz w:val="24"/>
                <w:szCs w:val="22"/>
              </w:rPr>
            </w:pPr>
            <w:r>
              <w:rPr>
                <w:rFonts w:hint="eastAsia"/>
                <w:sz w:val="21"/>
                <w:szCs w:val="21"/>
              </w:rPr>
              <w:t>内审组：</w:t>
            </w:r>
            <w:r>
              <w:rPr>
                <w:rFonts w:hint="eastAsia" w:ascii="宋体" w:hAnsi="宋体" w:eastAsia="宋体" w:cs="Times New Roman"/>
                <w:sz w:val="24"/>
                <w:szCs w:val="22"/>
              </w:rPr>
              <w:t>审核组长：</w:t>
            </w:r>
            <w:r>
              <w:rPr>
                <w:rFonts w:hint="eastAsia" w:ascii="宋体" w:hAnsi="宋体" w:eastAsia="宋体" w:cs="Times New Roman"/>
                <w:sz w:val="24"/>
                <w:szCs w:val="22"/>
                <w:lang w:eastAsia="zh-CN"/>
              </w:rPr>
              <w:t>李培武</w:t>
            </w:r>
            <w:r>
              <w:rPr>
                <w:rFonts w:hint="eastAsia" w:ascii="宋体" w:hAnsi="宋体" w:eastAsia="宋体" w:cs="Times New Roman"/>
                <w:sz w:val="24"/>
                <w:szCs w:val="22"/>
              </w:rPr>
              <w:t xml:space="preserve"> </w:t>
            </w:r>
            <w:r>
              <w:rPr>
                <w:rFonts w:hint="eastAsia" w:ascii="宋体" w:hAnsi="宋体" w:eastAsia="宋体" w:cs="Times New Roman"/>
                <w:sz w:val="24"/>
                <w:szCs w:val="22"/>
                <w:lang w:eastAsia="zh-CN"/>
              </w:rPr>
              <w:t>（管代）</w:t>
            </w:r>
            <w:r>
              <w:rPr>
                <w:rFonts w:hint="eastAsia" w:ascii="宋体" w:hAnsi="宋体" w:eastAsia="宋体" w:cs="Times New Roman"/>
                <w:sz w:val="24"/>
                <w:szCs w:val="22"/>
                <w:lang w:val="en-US" w:eastAsia="zh-CN"/>
              </w:rPr>
              <w:t xml:space="preserve">     </w:t>
            </w:r>
            <w:r>
              <w:rPr>
                <w:rFonts w:hint="eastAsia" w:ascii="宋体" w:hAnsi="宋体" w:eastAsia="宋体" w:cs="Times New Roman"/>
                <w:sz w:val="24"/>
                <w:szCs w:val="22"/>
              </w:rPr>
              <w:t xml:space="preserve"> 组员：</w:t>
            </w:r>
            <w:r>
              <w:rPr>
                <w:rFonts w:hint="eastAsia" w:ascii="宋体" w:hAnsi="宋体" w:eastAsia="宋体" w:cs="Times New Roman"/>
                <w:sz w:val="24"/>
                <w:szCs w:val="22"/>
                <w:lang w:eastAsia="zh-CN"/>
              </w:rPr>
              <w:t>罗敏（</w:t>
            </w:r>
            <w:r>
              <w:rPr>
                <w:rFonts w:hint="eastAsia" w:ascii="宋体" w:hAnsi="宋体" w:eastAsia="宋体" w:cs="Times New Roman"/>
                <w:sz w:val="24"/>
                <w:szCs w:val="22"/>
                <w:lang w:val="en-US" w:eastAsia="zh-CN"/>
              </w:rPr>
              <w:t>综合管理及安全环保部主任</w:t>
            </w:r>
            <w:r>
              <w:rPr>
                <w:rFonts w:hint="eastAsia" w:ascii="宋体" w:hAnsi="宋体" w:eastAsia="宋体" w:cs="Times New Roman"/>
                <w:sz w:val="24"/>
                <w:szCs w:val="22"/>
                <w:lang w:eastAsia="zh-CN"/>
              </w:rPr>
              <w:t>）</w:t>
            </w:r>
            <w:r>
              <w:rPr>
                <w:rFonts w:hint="eastAsia" w:ascii="宋体" w:hAnsi="宋体" w:eastAsia="宋体" w:cs="Times New Roman"/>
                <w:sz w:val="24"/>
                <w:szCs w:val="22"/>
              </w:rPr>
              <w:t xml:space="preserve"> </w:t>
            </w:r>
          </w:p>
          <w:p>
            <w:pPr>
              <w:spacing w:line="400" w:lineRule="exact"/>
              <w:rPr>
                <w:rFonts w:hint="eastAsia" w:ascii="Times New Roman" w:hAnsi="Times New Roman" w:eastAsia="宋体" w:cs="Times New Roman"/>
                <w:sz w:val="21"/>
                <w:szCs w:val="21"/>
              </w:rPr>
            </w:pPr>
            <w:r>
              <w:rPr>
                <w:rFonts w:hint="eastAsia"/>
                <w:sz w:val="21"/>
                <w:szCs w:val="21"/>
              </w:rPr>
              <w:t>见有：《内审不符合项报</w:t>
            </w:r>
            <w:r>
              <w:rPr>
                <w:rFonts w:hint="eastAsia" w:ascii="Times New Roman" w:hAnsi="Times New Roman" w:eastAsia="宋体" w:cs="Times New Roman"/>
                <w:sz w:val="21"/>
                <w:szCs w:val="21"/>
              </w:rPr>
              <w:t>告》</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份  涉及</w:t>
            </w:r>
            <w:r>
              <w:rPr>
                <w:rFonts w:hint="eastAsia" w:ascii="Times New Roman" w:hAnsi="Times New Roman" w:eastAsia="宋体" w:cs="Times New Roman"/>
                <w:sz w:val="21"/>
                <w:szCs w:val="21"/>
                <w:lang w:val="en-US" w:eastAsia="zh-CN"/>
              </w:rPr>
              <w:t>综合管理及安全环保部7.2 b），</w:t>
            </w:r>
            <w:r>
              <w:rPr>
                <w:rFonts w:hint="eastAsia" w:ascii="Times New Roman" w:hAnsi="Times New Roman" w:eastAsia="宋体" w:cs="Times New Roman"/>
                <w:sz w:val="21"/>
                <w:szCs w:val="21"/>
              </w:rPr>
              <w:t>对</w:t>
            </w:r>
            <w:r>
              <w:rPr>
                <w:rFonts w:hint="eastAsia" w:ascii="Times New Roman" w:hAnsi="Times New Roman" w:eastAsia="宋体" w:cs="Times New Roman"/>
                <w:sz w:val="21"/>
                <w:szCs w:val="21"/>
                <w:lang w:eastAsia="zh-CN"/>
              </w:rPr>
              <w:t>不符合事实描述为“</w:t>
            </w:r>
            <w:r>
              <w:rPr>
                <w:rFonts w:hint="eastAsia" w:ascii="Times New Roman" w:hAnsi="Times New Roman" w:eastAsia="宋体" w:cs="Times New Roman"/>
                <w:sz w:val="21"/>
                <w:szCs w:val="21"/>
              </w:rPr>
              <w:t>查</w:t>
            </w:r>
            <w:r>
              <w:rPr>
                <w:rFonts w:hint="eastAsia" w:ascii="Times New Roman" w:hAnsi="Times New Roman" w:eastAsia="宋体" w:cs="Times New Roman"/>
                <w:sz w:val="21"/>
                <w:szCs w:val="21"/>
                <w:lang w:val="en-US" w:eastAsia="zh-CN"/>
              </w:rPr>
              <w:t>综合管理及安全环保部未按计划进行5月的培训工作</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，针对该不符合项，已及时采取纠正措施后，经内审员验证关闭。</w:t>
            </w:r>
          </w:p>
          <w:p>
            <w:pPr>
              <w:spacing w:line="400" w:lineRule="exact"/>
              <w:rPr>
                <w:rFonts w:hint="eastAsia"/>
                <w:sz w:val="21"/>
                <w:szCs w:val="21"/>
              </w:rPr>
            </w:pPr>
            <w:r>
              <w:rPr>
                <w:rFonts w:hint="eastAsia" w:ascii="Times New Roman" w:hAnsi="Times New Roman" w:eastAsia="宋体" w:cs="Times New Roman"/>
                <w:sz w:val="21"/>
                <w:szCs w:val="21"/>
              </w:rPr>
              <w:t>有《内部审核报告》，有审核结论。</w:t>
            </w:r>
          </w:p>
        </w:tc>
        <w:tc>
          <w:tcPr>
            <w:tcW w:w="1065" w:type="dxa"/>
            <w:noWrap w:val="0"/>
            <w:vAlign w:val="top"/>
          </w:tcPr>
          <w:p>
            <w:pPr>
              <w:spacing w:line="440" w:lineRule="exact"/>
              <w:jc w:val="center"/>
              <w:rPr>
                <w:rFonts w:ascii="宋体" w:hAnsi="宋体"/>
                <w:sz w:val="21"/>
                <w:szCs w:val="21"/>
              </w:rPr>
            </w:pPr>
          </w:p>
        </w:tc>
        <w:tc>
          <w:tcPr>
            <w:tcW w:w="99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366" w:type="dxa"/>
            <w:noWrap w:val="0"/>
            <w:vAlign w:val="top"/>
          </w:tcPr>
          <w:p>
            <w:pPr>
              <w:spacing w:line="380" w:lineRule="exact"/>
              <w:rPr>
                <w:rFonts w:hint="eastAsia" w:ascii="宋体" w:hAnsi="宋体"/>
                <w:sz w:val="21"/>
                <w:szCs w:val="21"/>
              </w:rPr>
            </w:pPr>
            <w:r>
              <w:rPr>
                <w:rFonts w:hint="eastAsia" w:ascii="宋体" w:hAnsi="宋体"/>
                <w:sz w:val="21"/>
                <w:szCs w:val="21"/>
              </w:rPr>
              <w:t>查见《管理评审计划》、《管理评审报告》</w:t>
            </w:r>
          </w:p>
          <w:p>
            <w:pPr>
              <w:rPr>
                <w:rFonts w:hint="eastAsia" w:ascii="宋体" w:hAnsi="宋体" w:eastAsia="宋体" w:cs="Times New Roman"/>
                <w:sz w:val="21"/>
                <w:szCs w:val="21"/>
              </w:rPr>
            </w:pPr>
            <w:r>
              <w:rPr>
                <w:rFonts w:hint="eastAsia" w:ascii="宋体" w:hAnsi="宋体"/>
                <w:sz w:val="21"/>
                <w:szCs w:val="21"/>
              </w:rPr>
              <w:t>管理评审于</w:t>
            </w:r>
            <w:r>
              <w:rPr>
                <w:rFonts w:hint="eastAsia" w:ascii="宋体" w:hAnsi="宋体" w:eastAsia="宋体" w:cs="Times New Roman"/>
                <w:sz w:val="21"/>
                <w:szCs w:val="21"/>
                <w:lang w:eastAsia="zh-CN"/>
              </w:rPr>
              <w:t>2020</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6</w:t>
            </w:r>
            <w:r>
              <w:rPr>
                <w:rFonts w:hint="eastAsia" w:ascii="宋体" w:hAnsi="宋体" w:eastAsia="宋体" w:cs="Times New Roman"/>
                <w:sz w:val="21"/>
                <w:szCs w:val="21"/>
              </w:rPr>
              <w:t xml:space="preserve"> 月</w:t>
            </w:r>
            <w:r>
              <w:rPr>
                <w:rFonts w:hint="eastAsia" w:ascii="宋体" w:hAnsi="宋体" w:eastAsia="宋体" w:cs="Times New Roman"/>
                <w:sz w:val="21"/>
                <w:szCs w:val="21"/>
                <w:lang w:val="en-US" w:eastAsia="zh-CN"/>
              </w:rPr>
              <w:t>10</w:t>
            </w:r>
            <w:r>
              <w:rPr>
                <w:rFonts w:hint="eastAsia" w:ascii="宋体" w:hAnsi="宋体" w:eastAsia="宋体" w:cs="Times New Roman"/>
                <w:sz w:val="21"/>
                <w:szCs w:val="21"/>
              </w:rPr>
              <w:t>日</w:t>
            </w:r>
          </w:p>
          <w:p>
            <w:pPr>
              <w:spacing w:before="50" w:after="163" w:afterLines="50" w:line="360" w:lineRule="auto"/>
              <w:rPr>
                <w:rFonts w:hint="eastAsia" w:ascii="宋体" w:hAnsi="宋体"/>
                <w:sz w:val="21"/>
                <w:szCs w:val="21"/>
              </w:rPr>
            </w:pPr>
            <w:r>
              <w:rPr>
                <w:rFonts w:hint="eastAsia" w:ascii="宋体" w:hAnsi="宋体"/>
                <w:sz w:val="21"/>
                <w:szCs w:val="21"/>
              </w:rPr>
              <w:t>由总经理主持完成。</w:t>
            </w:r>
          </w:p>
          <w:p>
            <w:pPr>
              <w:adjustRightInd w:val="0"/>
              <w:spacing w:line="400" w:lineRule="exact"/>
              <w:textAlignment w:val="baseline"/>
              <w:rPr>
                <w:rFonts w:hint="eastAsia" w:ascii="宋体"/>
                <w:kern w:val="0"/>
                <w:sz w:val="21"/>
                <w:szCs w:val="21"/>
              </w:rPr>
            </w:pPr>
            <w:r>
              <w:rPr>
                <w:rFonts w:hint="eastAsia" w:ascii="宋体" w:hAnsi="宋体"/>
                <w:kern w:val="0"/>
                <w:sz w:val="21"/>
                <w:szCs w:val="21"/>
              </w:rPr>
              <w:t>提供主要输入材料有：各部门总结，</w:t>
            </w:r>
            <w:r>
              <w:rPr>
                <w:rFonts w:hint="eastAsia" w:ascii="宋体"/>
                <w:kern w:val="0"/>
                <w:sz w:val="21"/>
                <w:szCs w:val="21"/>
              </w:rPr>
              <w:t>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color w:val="C0504D"/>
                <w:sz w:val="21"/>
                <w:szCs w:val="21"/>
              </w:rPr>
            </w:pPr>
            <w:r>
              <w:rPr>
                <w:rFonts w:hint="eastAsia" w:ascii="宋体" w:hAnsi="宋体"/>
                <w:kern w:val="0"/>
                <w:sz w:val="21"/>
                <w:szCs w:val="21"/>
              </w:rPr>
              <w:t>提出改进项：</w:t>
            </w:r>
          </w:p>
          <w:p>
            <w:pPr>
              <w:numPr>
                <w:ilvl w:val="0"/>
                <w:numId w:val="0"/>
              </w:numPr>
              <w:adjustRightInd w:val="0"/>
              <w:spacing w:line="400" w:lineRule="exact"/>
              <w:textAlignment w:val="baseline"/>
              <w:rPr>
                <w:rFonts w:hint="eastAsia" w:ascii="宋体" w:hAnsi="宋体"/>
                <w:kern w:val="0"/>
                <w:sz w:val="21"/>
                <w:szCs w:val="21"/>
              </w:rPr>
            </w:pPr>
            <w:r>
              <w:rPr>
                <w:rFonts w:hint="eastAsia" w:ascii="宋体" w:hAnsi="宋体" w:cs="宋体"/>
                <w:szCs w:val="21"/>
              </w:rPr>
              <w:t>公司全体人员加强对ISO9001:2015《质量管理体系 要求》的培训，由</w:t>
            </w:r>
            <w:r>
              <w:rPr>
                <w:rFonts w:hint="eastAsia" w:ascii="宋体" w:hAnsi="宋体" w:cs="宋体"/>
                <w:szCs w:val="21"/>
                <w:lang w:eastAsia="zh-CN"/>
              </w:rPr>
              <w:t>综合管理及安全环保部</w:t>
            </w:r>
            <w:r>
              <w:rPr>
                <w:rFonts w:hint="eastAsia" w:ascii="宋体" w:hAnsi="宋体" w:cs="宋体"/>
                <w:szCs w:val="21"/>
              </w:rPr>
              <w:t>负责，由</w:t>
            </w:r>
            <w:r>
              <w:rPr>
                <w:rFonts w:hint="eastAsia" w:ascii="宋体" w:hAnsi="宋体" w:cs="宋体"/>
                <w:szCs w:val="21"/>
                <w:lang w:eastAsia="zh-CN"/>
              </w:rPr>
              <w:t>2020</w:t>
            </w:r>
            <w:r>
              <w:rPr>
                <w:rFonts w:hint="eastAsia" w:ascii="宋体" w:hAnsi="宋体" w:cs="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上旬</w:t>
            </w:r>
            <w:r>
              <w:rPr>
                <w:rFonts w:hint="eastAsia" w:ascii="宋体" w:hAnsi="宋体" w:cs="宋体"/>
                <w:szCs w:val="21"/>
              </w:rPr>
              <w:t>开始。     上述决定正在实施之中</w:t>
            </w:r>
          </w:p>
        </w:tc>
        <w:tc>
          <w:tcPr>
            <w:tcW w:w="1065" w:type="dxa"/>
            <w:noWrap w:val="0"/>
            <w:vAlign w:val="top"/>
          </w:tcPr>
          <w:p>
            <w:pPr>
              <w:spacing w:line="440" w:lineRule="exact"/>
              <w:jc w:val="center"/>
              <w:rPr>
                <w:rFonts w:ascii="宋体" w:hAnsi="宋体"/>
                <w:sz w:val="21"/>
                <w:szCs w:val="21"/>
              </w:rPr>
            </w:pPr>
          </w:p>
        </w:tc>
        <w:tc>
          <w:tcPr>
            <w:tcW w:w="99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pStyle w:val="2"/>
              <w:rPr>
                <w:rFonts w:hint="eastAsia"/>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366"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通过一阶段对受审核方的管理、生产现场的巡视和资料、文件查阅，对管理体系绩效要求有重大影响的过程、活动、场所和运行进行观察、巡视及总体性评价，组织具备二阶段审核条件，可进行二阶段审核。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二阶段质量管理体系宜重点关注（关键生产过程及生产提供场所）：</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重点审核部门：生产车间、</w:t>
            </w:r>
            <w:r>
              <w:rPr>
                <w:rFonts w:hint="eastAsia" w:ascii="宋体" w:hAnsi="宋体" w:cs="宋体"/>
                <w:sz w:val="21"/>
                <w:szCs w:val="21"/>
                <w:lang w:val="en-US" w:eastAsia="zh-CN"/>
              </w:rPr>
              <w:t>质量管理部</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重点审核场所：办公区域经营场所。</w:t>
            </w:r>
          </w:p>
        </w:tc>
        <w:tc>
          <w:tcPr>
            <w:tcW w:w="1065" w:type="dxa"/>
            <w:noWrap w:val="0"/>
            <w:vAlign w:val="top"/>
          </w:tcPr>
          <w:p>
            <w:pPr>
              <w:spacing w:line="440" w:lineRule="exact"/>
              <w:jc w:val="center"/>
              <w:rPr>
                <w:rFonts w:ascii="宋体" w:hAnsi="宋体"/>
                <w:sz w:val="21"/>
                <w:szCs w:val="21"/>
              </w:rPr>
            </w:pPr>
          </w:p>
        </w:tc>
        <w:tc>
          <w:tcPr>
            <w:tcW w:w="990" w:type="dxa"/>
            <w:noWrap w:val="0"/>
            <w:vAlign w:val="top"/>
          </w:tcPr>
          <w:p>
            <w:pPr>
              <w:spacing w:line="440" w:lineRule="exact"/>
              <w:jc w:val="center"/>
              <w:rPr>
                <w:rFonts w:ascii="宋体" w:hAnsi="宋体"/>
                <w:sz w:val="21"/>
                <w:szCs w:val="21"/>
              </w:rPr>
            </w:pPr>
          </w:p>
        </w:tc>
      </w:tr>
    </w:tbl>
    <w:p>
      <w:pPr>
        <w:rPr>
          <w:rFonts w:hint="eastAsia"/>
          <w:sz w:val="24"/>
          <w:szCs w:val="24"/>
        </w:rPr>
      </w:pPr>
    </w:p>
    <w:p>
      <w:pPr>
        <w:spacing w:line="480" w:lineRule="exact"/>
        <w:jc w:val="center"/>
        <w:rPr>
          <w:rFonts w:hint="eastAsia" w:ascii="隶书" w:hAnsi="宋体" w:eastAsia="隶书"/>
          <w:bCs/>
          <w:color w:val="000000"/>
          <w:sz w:val="36"/>
          <w:szCs w:val="36"/>
        </w:rPr>
      </w:pPr>
    </w:p>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D62FBA"/>
    <w:rsid w:val="0AB820C6"/>
    <w:rsid w:val="0E926F06"/>
    <w:rsid w:val="12814CB1"/>
    <w:rsid w:val="152C73F2"/>
    <w:rsid w:val="2AD85E02"/>
    <w:rsid w:val="30955FA2"/>
    <w:rsid w:val="33054587"/>
    <w:rsid w:val="445D12C6"/>
    <w:rsid w:val="590A0736"/>
    <w:rsid w:val="5CDB24A6"/>
    <w:rsid w:val="63250B28"/>
    <w:rsid w:val="632E2023"/>
    <w:rsid w:val="716868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2020-08-15T08:31:23Z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