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0399-2020-QEO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华港京和荟（北京）物业管理有限公司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Huagang jinghehui (Beijing) Property Management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北京市朝阳区霄云路28号院1号楼5层608</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100125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(英文)：608, 5 / F, building 1, yard 28, Xiaoyun Road,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北京市朝阳区霄云路28号院网信大厦16层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100125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(英文)：16 / F, Wangxin building, No.28 yard, Xiaoyun Road,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91110105MA01QE1G56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13801206334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任海青</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宋虹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E：物业管理服务及相关环境管理活动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Q：Property management services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E：Property management services and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hint="eastAsia"/>
          <w:b/>
          <w:color w:val="000000" w:themeColor="text1"/>
          <w:sz w:val="22"/>
          <w:szCs w:val="22"/>
        </w:rPr>
        <w:t>Property management services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2020.8.28</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3D6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2020-08-20T14:54:34Z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