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82"/>
        <w:gridCol w:w="60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尊道(北京)科技有限公司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北京市海淀区彩和坊路8号五层5A13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李颖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18511167486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王东明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0423-2020-Q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4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软件研发及运维、软件技术咨询</w:t>
            </w:r>
          </w:p>
          <w:p>
            <w:pPr>
              <w:rPr>
                <w:sz w:val="20"/>
              </w:rPr>
            </w:pPr>
            <w:bookmarkStart w:id="7" w:name="_GoBack"/>
            <w:bookmarkEnd w:id="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33.02.01;33.02.04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6" w:name="审核日期安排"/>
            <w:r>
              <w:rPr>
                <w:rFonts w:hint="eastAsia"/>
                <w:b/>
                <w:sz w:val="20"/>
              </w:rPr>
              <w:t>2020年08月19日 上午至2020年08月20日 下午 (共2.0天)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33.02.01,33.02.04</w:t>
            </w: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2020.8.18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8.19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资质验证/范围再确认/一阶段问题验证/投诉或事故/政府主管部门监督抽查情况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Q:5.3/6.1/6.2/7.5/7.1.2/7.1.6/7.2/7.3/7.4//7.5/9.1.3/9.2/10.2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部门职责权限、目标管理方案,风险与机遇；人力资源管理；内部审核等。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Q:5.3/6.2/7.1.3/7.1.4/7.1.5/8.1/8.2/8.3/8.4/8.5/8.7/9.1.2/10.2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部门职责权限、目标管理方案、基础设施、过程环境、设计开发、计算服务实现过程、产品和服务的要求、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研发过程的控制过程等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全体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午休时间：12：30-13：00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86D80"/>
    <w:rsid w:val="110A61B7"/>
    <w:rsid w:val="13786B46"/>
    <w:rsid w:val="1DA66C03"/>
    <w:rsid w:val="1E4561B9"/>
    <w:rsid w:val="25465F6C"/>
    <w:rsid w:val="2A4A5A84"/>
    <w:rsid w:val="3C9F4739"/>
    <w:rsid w:val="3D487147"/>
    <w:rsid w:val="403C3A86"/>
    <w:rsid w:val="7DFD1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2020-08-19T05:41:20Z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