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尊道(北京)科技有限公司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0423-2020-Q</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李颖</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18511167486</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r>
              <w:rPr>
                <w:rFonts w:hint="eastAsia"/>
              </w:rPr>
              <w:t>王东明</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软件开发、技术咨询及运维</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33.02.01;33.02.04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GB/T19001-2016/ISO9001:2015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2020年08月08日 下午至2020年08月08日 下午 (共0.5天)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r>
              <w:rPr>
                <w:sz w:val="21"/>
                <w:szCs w:val="21"/>
              </w:rPr>
              <w:t>33.02.01,33.02.04</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2020.8.7</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2020.8.7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2020.8.8</w:t>
            </w:r>
          </w:p>
        </w:tc>
        <w:tc>
          <w:tcPr>
            <w:tcW w:w="1505" w:type="dxa"/>
            <w:vAlign w:val="top"/>
          </w:tcPr>
          <w:p>
            <w:pPr>
              <w:snapToGrid w:val="0"/>
              <w:rPr>
                <w:color w:val="000000"/>
                <w:szCs w:val="21"/>
              </w:rPr>
            </w:pPr>
          </w:p>
          <w:p>
            <w:pPr>
              <w:snapToGrid w:val="0"/>
              <w:rPr>
                <w:color w:val="000000"/>
                <w:szCs w:val="21"/>
              </w:rPr>
            </w:pPr>
            <w:r>
              <w:rPr>
                <w:rFonts w:hint="eastAsia"/>
                <w:color w:val="000000"/>
                <w:szCs w:val="21"/>
                <w:lang w:val="en-US" w:eastAsia="zh-CN"/>
              </w:rPr>
              <w:t>13:00</w:t>
            </w:r>
            <w:r>
              <w:rPr>
                <w:rFonts w:hint="eastAsia"/>
                <w:color w:val="000000"/>
                <w:szCs w:val="21"/>
              </w:rPr>
              <w:t>-</w:t>
            </w:r>
            <w:r>
              <w:rPr>
                <w:rFonts w:hint="eastAsia"/>
                <w:color w:val="000000"/>
                <w:szCs w:val="21"/>
                <w:lang w:val="en-US" w:eastAsia="zh-CN"/>
              </w:rPr>
              <w:t>13</w:t>
            </w:r>
            <w:r>
              <w:rPr>
                <w:rFonts w:hint="eastAsia"/>
                <w:color w:val="000000"/>
                <w:szCs w:val="21"/>
              </w:rPr>
              <w:t>:</w:t>
            </w:r>
            <w:r>
              <w:rPr>
                <w:rFonts w:hint="eastAsia"/>
                <w:color w:val="000000"/>
                <w:szCs w:val="21"/>
                <w:lang w:val="en-US" w:eastAsia="zh-CN"/>
              </w:rPr>
              <w:t>3</w:t>
            </w:r>
            <w:r>
              <w:rPr>
                <w:rFonts w:hint="eastAsia"/>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top"/>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firstLineChars="0"/>
              <w:rPr>
                <w:rFonts w:ascii="楷体_GB2312" w:eastAsia="楷体_GB2312" w:cs="Times New Roman" w:hAnsiTheme="minorHAnsi"/>
                <w:kern w:val="2"/>
                <w:sz w:val="24"/>
                <w:lang w:val="en-US" w:eastAsia="zh-CN" w:bidi="ar-SA"/>
              </w:rPr>
            </w:pP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30</w:t>
            </w:r>
            <w:r>
              <w:rPr>
                <w:rFonts w:hint="eastAsia"/>
                <w:color w:val="000000"/>
                <w:szCs w:val="21"/>
              </w:rPr>
              <w:t>-</w:t>
            </w:r>
            <w:r>
              <w:rPr>
                <w:rFonts w:hint="eastAsia"/>
                <w:color w:val="000000"/>
                <w:szCs w:val="21"/>
                <w:lang w:val="en-US" w:eastAsia="zh-CN"/>
              </w:rPr>
              <w:t>14</w:t>
            </w:r>
            <w:r>
              <w:rPr>
                <w:color w:val="000000"/>
                <w:szCs w:val="21"/>
              </w:rPr>
              <w:t>:</w:t>
            </w:r>
            <w:r>
              <w:rPr>
                <w:rFonts w:hint="eastAsia"/>
                <w:color w:val="000000"/>
                <w:szCs w:val="21"/>
                <w:lang w:val="en-US" w:eastAsia="zh-CN"/>
              </w:rPr>
              <w:t>0</w:t>
            </w:r>
            <w:r>
              <w:rPr>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rFonts w:ascii="Times New Roman" w:hAnsi="Times New Roman" w:eastAsia="宋体" w:cs="Times New Roman"/>
                <w:b/>
                <w:kern w:val="2"/>
                <w:sz w:val="20"/>
                <w:lang w:val="en-US" w:eastAsia="zh-CN" w:bidi="ar-SA"/>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color w:val="000000"/>
                <w:szCs w:val="21"/>
              </w:rPr>
            </w:pPr>
            <w:r>
              <w:rPr>
                <w:rFonts w:hint="eastAsia"/>
                <w:color w:val="000000"/>
                <w:szCs w:val="21"/>
                <w:lang w:val="en-US" w:eastAsia="zh-CN"/>
              </w:rPr>
              <w:t>14</w:t>
            </w:r>
            <w:r>
              <w:rPr>
                <w:color w:val="000000"/>
                <w:szCs w:val="21"/>
              </w:rPr>
              <w:t>:</w:t>
            </w:r>
            <w:r>
              <w:rPr>
                <w:rFonts w:hint="eastAsia"/>
                <w:color w:val="000000"/>
                <w:szCs w:val="21"/>
                <w:lang w:val="en-US" w:eastAsia="zh-CN"/>
              </w:rPr>
              <w:t>0</w:t>
            </w:r>
            <w:r>
              <w:rPr>
                <w:color w:val="000000"/>
                <w:szCs w:val="21"/>
              </w:rPr>
              <w:t>0-1</w:t>
            </w:r>
            <w:r>
              <w:rPr>
                <w:rFonts w:hint="eastAsia"/>
                <w:color w:val="000000"/>
                <w:szCs w:val="21"/>
                <w:lang w:val="en-US" w:eastAsia="zh-CN"/>
              </w:rPr>
              <w:t>5</w:t>
            </w:r>
            <w:r>
              <w:rPr>
                <w:color w:val="000000"/>
                <w:szCs w:val="21"/>
              </w:rPr>
              <w:t>:</w:t>
            </w:r>
            <w:r>
              <w:rPr>
                <w:rFonts w:hint="eastAsia"/>
                <w:color w:val="000000"/>
                <w:szCs w:val="21"/>
                <w:lang w:val="en-US" w:eastAsia="zh-CN"/>
              </w:rPr>
              <w:t>0</w:t>
            </w:r>
            <w:r>
              <w:rPr>
                <w:color w:val="000000"/>
                <w:szCs w:val="21"/>
              </w:rPr>
              <w:t>0</w:t>
            </w:r>
          </w:p>
          <w:p>
            <w:pPr>
              <w:rPr>
                <w:color w:val="000000"/>
                <w:szCs w:val="21"/>
              </w:rPr>
            </w:pPr>
          </w:p>
          <w:p>
            <w:pPr>
              <w:rPr>
                <w:color w:val="000000"/>
                <w:szCs w:val="21"/>
              </w:rPr>
            </w:pPr>
          </w:p>
          <w:p>
            <w:pPr>
              <w:snapToGrid w:val="0"/>
              <w:rPr>
                <w:rFonts w:hint="default" w:ascii="Times New Roman" w:hAnsi="Times New Roman" w:eastAsia="宋体" w:cs="Times New Roman"/>
                <w:b/>
                <w:kern w:val="2"/>
                <w:sz w:val="20"/>
                <w:lang w:val="en-US" w:eastAsia="zh-CN" w:bidi="ar-SA"/>
              </w:rPr>
            </w:pPr>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综合部</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rPr>
                <w:rFonts w:hint="eastAsia" w:ascii="宋体" w:hAnsi="宋体"/>
                <w:szCs w:val="21"/>
              </w:rPr>
              <w:t xml:space="preserve">软件开发、技术咨询及运维 </w:t>
            </w:r>
            <w:r>
              <w:rPr>
                <w:rFonts w:hint="eastAsia" w:ascii="楷体_GB2312" w:eastAsia="楷体_GB2312" w:cs="宋体" w:hAnsiTheme="minorHAnsi"/>
                <w:color w:val="000000"/>
                <w:kern w:val="0"/>
                <w:szCs w:val="24"/>
              </w:rPr>
              <w:t>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rFonts w:ascii="Times New Roman" w:hAnsi="Times New Roman" w:eastAsia="宋体" w:cs="Times New Roman"/>
                <w:b/>
                <w:kern w:val="2"/>
                <w:sz w:val="20"/>
                <w:lang w:val="en-US" w:eastAsia="zh-CN" w:bidi="ar-SA"/>
              </w:rPr>
            </w:pP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15</w:t>
            </w:r>
            <w:r>
              <w:rPr>
                <w:rFonts w:hint="eastAsia"/>
                <w:color w:val="000000"/>
                <w:szCs w:val="21"/>
              </w:rPr>
              <w:t>:</w:t>
            </w:r>
            <w:r>
              <w:rPr>
                <w:rFonts w:hint="eastAsia"/>
                <w:color w:val="000000"/>
                <w:szCs w:val="21"/>
                <w:lang w:val="en-US" w:eastAsia="zh-CN"/>
              </w:rPr>
              <w:t>00</w:t>
            </w:r>
            <w:r>
              <w:rPr>
                <w:rFonts w:hint="eastAsia"/>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p>
            <w:pPr>
              <w:snapToGrid w:val="0"/>
              <w:rPr>
                <w:rFonts w:ascii="Times New Roman" w:hAnsi="Times New Roman" w:eastAsia="宋体" w:cs="Times New Roman"/>
                <w:b/>
                <w:kern w:val="2"/>
                <w:sz w:val="20"/>
                <w:lang w:val="en-US" w:eastAsia="zh-CN" w:bidi="ar-SA"/>
              </w:rPr>
            </w:pPr>
          </w:p>
        </w:tc>
        <w:tc>
          <w:tcPr>
            <w:tcW w:w="6665" w:type="dxa"/>
            <w:vAlign w:val="top"/>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lang w:val="en-US" w:eastAsia="zh-CN"/>
              </w:rPr>
              <w:t>技术</w:t>
            </w:r>
            <w:bookmarkStart w:id="14" w:name="_GoBack"/>
            <w:bookmarkEnd w:id="14"/>
            <w:r>
              <w:rPr>
                <w:rFonts w:hint="eastAsia" w:ascii="楷体_GB2312" w:eastAsia="楷体_GB2312"/>
                <w:szCs w:val="22"/>
              </w:rPr>
              <w:t>部及现场参观</w:t>
            </w:r>
          </w:p>
          <w:p>
            <w:pPr>
              <w:snapToGrid w:val="0"/>
              <w:rPr>
                <w:rFonts w:hint="eastAsia" w:ascii="楷体_GB2312" w:eastAsia="楷体_GB2312"/>
                <w:szCs w:val="22"/>
              </w:rPr>
            </w:pPr>
            <w:r>
              <w:rPr>
                <w:rFonts w:hint="eastAsia" w:ascii="楷体_GB2312" w:eastAsia="楷体_GB2312"/>
                <w:szCs w:val="22"/>
              </w:rPr>
              <w:t>了解</w:t>
            </w:r>
            <w:r>
              <w:rPr>
                <w:rFonts w:hint="eastAsia" w:ascii="宋体" w:hAnsi="宋体"/>
                <w:szCs w:val="21"/>
              </w:rPr>
              <w:t xml:space="preserve">软件开发、技术咨询及运维 </w:t>
            </w:r>
            <w:r>
              <w:rPr>
                <w:rFonts w:hint="eastAsia" w:ascii="楷体_GB2312" w:eastAsia="楷体_GB2312"/>
                <w:szCs w:val="22"/>
              </w:rPr>
              <w:t>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hAnsi="Times New Roman" w:eastAsia="楷体_GB2312" w:cs="Times New Roman"/>
                <w:kern w:val="2"/>
                <w:sz w:val="24"/>
                <w:szCs w:val="22"/>
                <w:lang w:val="en-US" w:eastAsia="zh-CN" w:bidi="ar-SA"/>
              </w:rPr>
            </w:pPr>
          </w:p>
        </w:tc>
        <w:tc>
          <w:tcPr>
            <w:tcW w:w="1196" w:type="dxa"/>
            <w:tcBorders>
              <w:right w:val="single" w:color="auto" w:sz="8" w:space="0"/>
            </w:tcBorders>
            <w:vAlign w:val="top"/>
          </w:tcPr>
          <w:p>
            <w:pPr>
              <w:snapToGrid w:val="0"/>
              <w:rPr>
                <w:b/>
                <w:sz w:val="20"/>
              </w:rPr>
            </w:pPr>
          </w:p>
          <w:p>
            <w:pPr>
              <w:snapToGrid w:val="0"/>
              <w:rPr>
                <w:rFonts w:ascii="Times New Roman" w:hAnsi="Times New Roman" w:eastAsia="宋体" w:cs="Times New Roman"/>
                <w:b/>
                <w:kern w:val="2"/>
                <w:sz w:val="20"/>
                <w:lang w:val="en-US" w:eastAsia="zh-CN" w:bidi="ar-SA"/>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top"/>
          </w:tcPr>
          <w:p>
            <w:pPr>
              <w:snapToGrid w:val="0"/>
              <w:rPr>
                <w:rFonts w:ascii="Times New Roman" w:hAnsi="Times New Roman" w:eastAsia="宋体" w:cs="Times New Roman"/>
                <w:b/>
                <w:kern w:val="2"/>
                <w:sz w:val="20"/>
                <w:lang w:val="en-US" w:eastAsia="zh-CN" w:bidi="ar-SA"/>
              </w:rPr>
            </w:pPr>
            <w:r>
              <w:rPr>
                <w:rFonts w:hint="eastAsia"/>
                <w:color w:val="000000"/>
                <w:szCs w:val="21"/>
                <w:lang w:val="en-US" w:eastAsia="zh-CN"/>
              </w:rPr>
              <w:t>16</w:t>
            </w:r>
            <w:r>
              <w:rPr>
                <w:color w:val="000000"/>
                <w:szCs w:val="21"/>
              </w:rPr>
              <w:t>:</w:t>
            </w:r>
            <w:r>
              <w:rPr>
                <w:rFonts w:hint="eastAsia"/>
                <w:color w:val="000000"/>
                <w:szCs w:val="21"/>
                <w:lang w:val="en-US" w:eastAsia="zh-CN"/>
              </w:rPr>
              <w:t>30</w:t>
            </w:r>
            <w:r>
              <w:rPr>
                <w:color w:val="000000"/>
                <w:szCs w:val="21"/>
              </w:rPr>
              <w:t>-1</w:t>
            </w:r>
            <w:r>
              <w:rPr>
                <w:rFonts w:hint="eastAsia"/>
                <w:color w:val="000000"/>
                <w:szCs w:val="21"/>
                <w:lang w:val="en-US" w:eastAsia="zh-CN"/>
              </w:rPr>
              <w:t>7</w:t>
            </w:r>
            <w:r>
              <w:rPr>
                <w:color w:val="000000"/>
                <w:szCs w:val="21"/>
              </w:rPr>
              <w:t>:</w:t>
            </w:r>
            <w:r>
              <w:rPr>
                <w:rFonts w:hint="eastAsia"/>
                <w:color w:val="000000"/>
                <w:szCs w:val="21"/>
                <w:lang w:val="en-US" w:eastAsia="zh-CN"/>
              </w:rPr>
              <w:t>0</w:t>
            </w:r>
            <w:r>
              <w:rPr>
                <w:color w:val="000000"/>
                <w:szCs w:val="21"/>
              </w:rPr>
              <w:t>0</w:t>
            </w:r>
          </w:p>
        </w:tc>
        <w:tc>
          <w:tcPr>
            <w:tcW w:w="6665" w:type="dxa"/>
            <w:vAlign w:val="top"/>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rPr>
            </w:pPr>
            <w:r>
              <w:rPr>
                <w:rFonts w:hint="eastAsia" w:ascii="楷体_GB2312" w:eastAsia="楷体_GB2312"/>
              </w:rPr>
              <w:t>管理层：与受审核方交流，</w:t>
            </w:r>
            <w:r>
              <w:rPr>
                <w:rFonts w:ascii="楷体_GB2312" w:eastAsia="楷体_GB2312"/>
              </w:rPr>
              <w:t>商定第二阶段审核的细节</w:t>
            </w:r>
          </w:p>
          <w:p>
            <w:pPr>
              <w:snapToGrid w:val="0"/>
              <w:ind w:firstLine="720" w:firstLineChars="300"/>
              <w:rPr>
                <w:rFonts w:hint="eastAsia" w:ascii="楷体_GB2312" w:eastAsia="楷体_GB2312"/>
              </w:rPr>
            </w:pPr>
          </w:p>
          <w:p>
            <w:pPr>
              <w:snapToGrid w:val="0"/>
              <w:ind w:firstLine="720" w:firstLineChars="300"/>
              <w:rPr>
                <w:rFonts w:ascii="楷体_GB2312" w:eastAsia="楷体_GB2312"/>
                <w:lang w:val="en-US" w:eastAsia="zh-CN"/>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E64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2020-08-18T12:37:15Z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