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中方联合停车管理有限公司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0422-2020-QEO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王亚伟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北京实圣达停车场管理有限公司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