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中方联合停车管理有限公司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王亚伟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Q:35.21.03</w:t>
            </w:r>
          </w:p>
          <w:p>
            <w:pPr>
              <w:spacing w:line="240" w:lineRule="exact"/>
              <w:jc w:val="center"/>
              <w:rPr>
                <w:b/>
                <w:color w:val="000000"/>
                <w:sz w:val="20"/>
                <w:szCs w:val="20"/>
              </w:rPr>
            </w:pPr>
            <w:r>
              <w:rPr>
                <w:b/>
                <w:color w:val="000000"/>
                <w:sz w:val="20"/>
                <w:szCs w:val="20"/>
              </w:rPr>
              <w:t>E:35.21.03</w:t>
            </w:r>
          </w:p>
          <w:p>
            <w:pPr>
              <w:spacing w:line="240" w:lineRule="exact"/>
              <w:jc w:val="center"/>
              <w:rPr>
                <w:b/>
                <w:color w:val="000000"/>
                <w:sz w:val="20"/>
                <w:szCs w:val="20"/>
              </w:rPr>
            </w:pPr>
            <w:r>
              <w:rPr>
                <w:b/>
                <w:color w:val="000000"/>
                <w:sz w:val="20"/>
                <w:szCs w:val="20"/>
              </w:rP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中方联合停车管理有限公司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北京市朝阳区西坝河168号A01室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100028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北京市朝阳区慈云寺1号院3号楼1层106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100028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郑月星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18515411736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010-86111666</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佘丽花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方科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929163699@qq.com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Times New Roman" w:hAnsi="Times New Roman"/>
                <w:sz w:val="21"/>
                <w:szCs w:val="21"/>
              </w:rPr>
              <w:t>20</w:t>
            </w:r>
            <w:r>
              <w:rPr>
                <w:rFonts w:hint="eastAsia"/>
                <w:sz w:val="21"/>
                <w:szCs w:val="21"/>
              </w:rPr>
              <w:t>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Q：机动车公共停车场管理服务</w:t>
            </w:r>
          </w:p>
          <w:p>
            <w:pPr>
              <w:spacing w:line="400" w:lineRule="exact"/>
              <w:rPr>
                <w:rFonts w:ascii="宋体" w:hAnsi="宋体"/>
                <w:b/>
                <w:color w:val="000000"/>
                <w:sz w:val="20"/>
                <w:szCs w:val="20"/>
              </w:rPr>
            </w:pPr>
            <w:r>
              <w:rPr>
                <w:rFonts w:ascii="宋体" w:hAnsi="宋体"/>
                <w:b/>
                <w:color w:val="000000"/>
                <w:sz w:val="20"/>
                <w:szCs w:val="20"/>
              </w:rPr>
              <w:t>E：机动车公共停车场管理服务及相关环境管理活动</w:t>
            </w:r>
          </w:p>
          <w:p>
            <w:pPr>
              <w:spacing w:line="400" w:lineRule="exact"/>
              <w:rPr>
                <w:rFonts w:ascii="宋体" w:hAnsi="宋体"/>
                <w:b/>
                <w:color w:val="000000"/>
                <w:sz w:val="20"/>
                <w:szCs w:val="20"/>
              </w:rPr>
            </w:pPr>
            <w:r>
              <w:rPr>
                <w:rFonts w:ascii="宋体" w:hAnsi="宋体"/>
                <w:b/>
                <w:color w:val="000000"/>
                <w:sz w:val="20"/>
                <w:szCs w:val="20"/>
              </w:rPr>
              <w:t>O：机动车公共停车场管理服务及相关职业健康安全管理活动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Q：35.21.03</w:t>
            </w:r>
          </w:p>
          <w:p>
            <w:pPr>
              <w:spacing w:line="280" w:lineRule="exact"/>
              <w:rPr>
                <w:rFonts w:ascii="宋体"/>
                <w:b/>
                <w:color w:val="000000"/>
                <w:sz w:val="20"/>
                <w:szCs w:val="20"/>
              </w:rPr>
            </w:pPr>
            <w:r>
              <w:rPr>
                <w:rFonts w:ascii="宋体"/>
                <w:b/>
                <w:color w:val="000000"/>
                <w:sz w:val="20"/>
                <w:szCs w:val="20"/>
              </w:rPr>
              <w:t>E：35.21.03</w:t>
            </w:r>
          </w:p>
          <w:p>
            <w:pPr>
              <w:spacing w:line="280" w:lineRule="exact"/>
              <w:rPr>
                <w:rFonts w:ascii="宋体"/>
                <w:b/>
                <w:color w:val="000000"/>
                <w:sz w:val="20"/>
                <w:szCs w:val="20"/>
              </w:rPr>
            </w:pPr>
            <w:r>
              <w:rPr>
                <w:rFonts w:ascii="宋体"/>
                <w:b/>
                <w:color w:val="000000"/>
                <w:sz w:val="20"/>
                <w:szCs w:val="20"/>
              </w:rPr>
              <w:t>O：35.21.03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部门：高管层</w:t>
      </w:r>
      <w:r>
        <w:rPr>
          <w:rFonts w:hint="eastAsia" w:ascii="宋体" w:hAnsi="宋体"/>
          <w:b/>
          <w:color w:val="000000"/>
          <w:sz w:val="20"/>
          <w:szCs w:val="20"/>
          <w:lang w:eastAsia="zh-CN"/>
        </w:rPr>
        <w:t>、</w:t>
      </w:r>
      <w:r>
        <w:rPr>
          <w:rFonts w:hint="eastAsia" w:ascii="宋体" w:hAnsi="宋体"/>
          <w:b/>
          <w:color w:val="000000"/>
          <w:sz w:val="20"/>
          <w:szCs w:val="20"/>
        </w:rPr>
        <w:t>市场及公关部</w:t>
      </w:r>
      <w:r>
        <w:rPr>
          <w:rFonts w:hint="eastAsia" w:ascii="宋体" w:hAnsi="宋体"/>
          <w:b/>
          <w:color w:val="000000"/>
          <w:sz w:val="20"/>
          <w:szCs w:val="20"/>
          <w:lang w:eastAsia="zh-CN"/>
        </w:rPr>
        <w:t>、</w:t>
      </w:r>
      <w:r>
        <w:rPr>
          <w:rFonts w:hint="eastAsia" w:ascii="宋体" w:hAnsi="宋体"/>
          <w:b/>
          <w:color w:val="000000"/>
          <w:sz w:val="20"/>
          <w:szCs w:val="20"/>
        </w:rPr>
        <w:t>办公室（含库房、财务）</w:t>
      </w:r>
      <w:r>
        <w:rPr>
          <w:rFonts w:hint="eastAsia" w:ascii="宋体" w:hAnsi="宋体"/>
          <w:b/>
          <w:color w:val="000000"/>
          <w:sz w:val="20"/>
          <w:szCs w:val="20"/>
          <w:lang w:eastAsia="zh-CN"/>
        </w:rPr>
        <w:t>、</w:t>
      </w:r>
      <w:r>
        <w:rPr>
          <w:rFonts w:hint="eastAsia" w:ascii="宋体" w:hAnsi="宋体"/>
          <w:b/>
          <w:color w:val="000000"/>
          <w:sz w:val="20"/>
          <w:szCs w:val="20"/>
        </w:rPr>
        <w:t>经营管理部(停车场现场控制)</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办公室、</w:t>
      </w:r>
      <w:r>
        <w:rPr>
          <w:rFonts w:hint="eastAsia" w:ascii="宋体" w:hAnsi="宋体"/>
          <w:b/>
          <w:color w:val="000000"/>
          <w:sz w:val="20"/>
          <w:szCs w:val="20"/>
        </w:rPr>
        <w:t>停车场现场</w:t>
      </w:r>
      <w:r>
        <w:rPr>
          <w:rFonts w:hint="eastAsia" w:ascii="宋体" w:hAnsi="宋体"/>
          <w:b/>
          <w:color w:val="000000"/>
          <w:sz w:val="20"/>
          <w:szCs w:val="20"/>
          <w:lang w:eastAsia="zh-CN"/>
        </w:rPr>
        <w:t>、</w:t>
      </w:r>
      <w:r>
        <w:rPr>
          <w:rFonts w:hint="eastAsia" w:ascii="宋体" w:hAnsi="宋体"/>
          <w:b/>
          <w:color w:val="000000"/>
          <w:sz w:val="20"/>
          <w:szCs w:val="20"/>
        </w:rPr>
        <w:t>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sz w:val="21"/>
                <w:szCs w:val="21"/>
              </w:rPr>
            </w:pPr>
            <w:r>
              <w:rPr>
                <w:sz w:val="21"/>
                <w:szCs w:val="21"/>
              </w:rPr>
              <w:t>Q：机动车公共停车场管理服务</w:t>
            </w:r>
          </w:p>
          <w:p>
            <w:pPr>
              <w:rPr>
                <w:sz w:val="21"/>
                <w:szCs w:val="21"/>
              </w:rPr>
            </w:pPr>
            <w:r>
              <w:rPr>
                <w:sz w:val="21"/>
                <w:szCs w:val="21"/>
              </w:rPr>
              <w:t>E：机动车公共停车场管理服务及相关环境管理活动</w:t>
            </w:r>
          </w:p>
          <w:p>
            <w:pPr>
              <w:tabs>
                <w:tab w:val="left" w:pos="360"/>
              </w:tabs>
              <w:ind w:left="360" w:hanging="360"/>
              <w:rPr>
                <w:rFonts w:ascii="宋体"/>
                <w:b/>
                <w:color w:val="000000"/>
                <w:sz w:val="20"/>
                <w:szCs w:val="20"/>
              </w:rPr>
            </w:pPr>
            <w:r>
              <w:rPr>
                <w:sz w:val="21"/>
                <w:szCs w:val="21"/>
              </w:rPr>
              <w:t>O：机动车公共停车场管理服务及相关职业健康安全管理活动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eastAsia="宋体"/>
                <w:sz w:val="21"/>
                <w:szCs w:val="21"/>
              </w:rPr>
              <w:t>高管层</w:t>
            </w:r>
            <w:r>
              <w:rPr>
                <w:rFonts w:hint="eastAsia" w:eastAsia="宋体"/>
                <w:sz w:val="21"/>
                <w:szCs w:val="21"/>
                <w:lang w:eastAsia="zh-CN"/>
              </w:rPr>
              <w:t>、</w:t>
            </w:r>
            <w:r>
              <w:rPr>
                <w:rFonts w:hint="eastAsia" w:eastAsia="宋体"/>
                <w:sz w:val="21"/>
                <w:szCs w:val="21"/>
              </w:rPr>
              <w:t>市场及公关部</w:t>
            </w:r>
            <w:r>
              <w:rPr>
                <w:rFonts w:hint="eastAsia" w:eastAsia="宋体"/>
                <w:sz w:val="21"/>
                <w:szCs w:val="21"/>
                <w:lang w:eastAsia="zh-CN"/>
              </w:rPr>
              <w:t>、</w:t>
            </w:r>
            <w:r>
              <w:rPr>
                <w:rFonts w:hint="eastAsia" w:eastAsia="宋体"/>
                <w:sz w:val="21"/>
                <w:szCs w:val="21"/>
              </w:rPr>
              <w:t>办公室（含库房、财务）</w:t>
            </w:r>
            <w:r>
              <w:rPr>
                <w:rFonts w:hint="eastAsia" w:eastAsia="宋体"/>
                <w:sz w:val="21"/>
                <w:szCs w:val="21"/>
                <w:lang w:eastAsia="zh-CN"/>
              </w:rPr>
              <w:t>、</w:t>
            </w:r>
            <w:r>
              <w:rPr>
                <w:rFonts w:hint="eastAsia" w:eastAsia="宋体"/>
                <w:sz w:val="21"/>
                <w:szCs w:val="21"/>
              </w:rPr>
              <w:t>经营管理部(停车场现场控制)</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eastAsia="宋体"/>
                <w:sz w:val="21"/>
                <w:szCs w:val="21"/>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eastAsia="宋体"/>
                <w:sz w:val="21"/>
                <w:szCs w:val="21"/>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eastAsia="宋体"/>
                <w:sz w:val="21"/>
                <w:szCs w:val="21"/>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eastAsia="宋体"/>
                <w:sz w:val="21"/>
                <w:szCs w:val="21"/>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Theme="minorEastAsia" w:hAnsiTheme="minorEastAsia" w:eastAsiaTheme="minorEastAsia" w:cstheme="minorEastAsia"/>
                <w:color w:val="auto"/>
                <w:sz w:val="21"/>
                <w:szCs w:val="21"/>
                <w:lang w:val="en-US" w:eastAsia="zh-CN"/>
              </w:rPr>
              <w:t xml:space="preserve">车牌抓拍、识别→车辆进场→自助泊车→后台管理系统→车牌抓拍、识别→车辆出厂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sz w:val="21"/>
                <w:szCs w:val="21"/>
                <w:lang w:val="en-US" w:eastAsia="zh-CN"/>
              </w:rPr>
              <w:t>停车服务过程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sz w:val="21"/>
                <w:szCs w:val="21"/>
                <w:lang w:val="en-US" w:eastAsia="zh-CN"/>
              </w:rPr>
              <w:t>停车服务过程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bCs w:val="0"/>
                <w:spacing w:val="0"/>
                <w:kern w:val="2"/>
                <w:sz w:val="21"/>
                <w:szCs w:val="21"/>
                <w:lang w:val="en-US" w:eastAsia="zh-CN" w:bidi="ar-SA"/>
              </w:rPr>
              <w:t>智能道闸、智能系统、监控系统、洗地机、照明设备设施；还有办公设备如：电脑、打印机、传真机等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360" w:lineRule="auto"/>
              <w:ind w:firstLine="400" w:firstLineChars="200"/>
              <w:rPr>
                <w:rFonts w:ascii="宋体"/>
                <w:color w:val="000000"/>
                <w:sz w:val="20"/>
                <w:szCs w:val="20"/>
              </w:rPr>
            </w:pPr>
            <w:r>
              <w:rPr>
                <w:rFonts w:hint="eastAsia" w:ascii="宋体"/>
                <w:color w:val="000000"/>
                <w:sz w:val="20"/>
                <w:szCs w:val="20"/>
              </w:rPr>
              <w:t>监视和测量设备（请简述主要监视和测量设备）：</w:t>
            </w:r>
            <w:r>
              <w:rPr>
                <w:rFonts w:hint="eastAsia" w:asciiTheme="minorEastAsia" w:hAnsiTheme="minorEastAsia" w:eastAsiaTheme="minorEastAsia" w:cstheme="minorEastAsia"/>
                <w:sz w:val="21"/>
                <w:szCs w:val="21"/>
                <w:lang w:val="en-US" w:eastAsia="zh-CN"/>
              </w:rPr>
              <w:t>公司的监视和测量设备是视频监控系统，视频监控系统不存在死角、清晰、贮存系统是否有良好，可以随时调取以前的监控记录。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color w:val="auto"/>
                <w:sz w:val="21"/>
                <w:szCs w:val="21"/>
                <w:lang w:val="en-US" w:eastAsia="zh-CN"/>
              </w:rPr>
              <w:t>潜在火灾、固废、汽车尾气、噪声</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color w:val="auto"/>
                <w:sz w:val="21"/>
                <w:szCs w:val="21"/>
                <w:lang w:val="en-US" w:eastAsia="zh-CN"/>
              </w:rPr>
              <w:t>潜在火灾、新冠病毒、车辆自燃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eastAsia="宋体" w:cs="宋体"/>
                <w:color w:val="auto"/>
                <w:sz w:val="21"/>
                <w:szCs w:val="21"/>
              </w:rPr>
              <w:t>经营管理部</w:t>
            </w:r>
            <w:r>
              <w:rPr>
                <w:rFonts w:hint="eastAsia" w:ascii="宋体" w:hAnsi="宋体" w:eastAsia="宋体" w:cs="宋体"/>
                <w:color w:val="auto"/>
                <w:sz w:val="21"/>
                <w:szCs w:val="21"/>
                <w:lang w:eastAsia="zh-CN"/>
              </w:rPr>
              <w:t>、办公室</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eastAsia="宋体" w:cs="宋体"/>
                <w:color w:val="auto"/>
                <w:sz w:val="21"/>
                <w:szCs w:val="21"/>
                <w:lang w:eastAsia="zh-CN"/>
              </w:rPr>
              <w:t>车辆管理服务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eastAsia="宋体" w:cs="宋体"/>
                <w:color w:val="auto"/>
                <w:sz w:val="21"/>
                <w:szCs w:val="21"/>
                <w:lang w:val="en-US" w:eastAsia="zh-CN"/>
              </w:rPr>
              <w:t>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宋体"/>
                <w:color w:val="auto"/>
                <w:sz w:val="21"/>
                <w:szCs w:val="21"/>
              </w:rPr>
              <w:t>经营管理部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eastAsia="宋体" w:cs="宋体"/>
                <w:color w:val="auto"/>
                <w:sz w:val="21"/>
                <w:szCs w:val="21"/>
                <w:lang w:val="en-US" w:eastAsia="zh-CN"/>
              </w:rPr>
              <w:t>停车场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宋体"/>
                <w:color w:val="auto"/>
                <w:sz w:val="21"/>
                <w:szCs w:val="21"/>
              </w:rPr>
              <w:t>经营管理部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eastAsia="宋体" w:cs="宋体"/>
                <w:color w:val="auto"/>
                <w:sz w:val="21"/>
                <w:szCs w:val="21"/>
                <w:lang w:val="en-US" w:eastAsia="zh-CN"/>
              </w:rPr>
              <w:t>停车场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23958016" behindDoc="0" locked="0" layoutInCell="1" allowOverlap="1">
            <wp:simplePos x="0" y="0"/>
            <wp:positionH relativeFrom="column">
              <wp:posOffset>1805940</wp:posOffset>
            </wp:positionH>
            <wp:positionV relativeFrom="paragraph">
              <wp:posOffset>328295</wp:posOffset>
            </wp:positionV>
            <wp:extent cx="638810" cy="315595"/>
            <wp:effectExtent l="0" t="0" r="889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8810" cy="3155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2599690</wp:posOffset>
            </wp:positionH>
            <wp:positionV relativeFrom="paragraph">
              <wp:posOffset>158750</wp:posOffset>
            </wp:positionV>
            <wp:extent cx="652145" cy="311150"/>
            <wp:effectExtent l="0" t="0" r="14605" b="1270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lum contrast="100000"/>
                    </a:blip>
                    <a:stretch>
                      <a:fillRect/>
                    </a:stretch>
                  </pic:blipFill>
                  <pic:spPr>
                    <a:xfrm>
                      <a:off x="0" y="0"/>
                      <a:ext cx="652145" cy="31115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kern w:val="2"/>
          <w:sz w:val="24"/>
          <w:lang w:val="en-US" w:eastAsia="zh-CN" w:bidi="ar-SA"/>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-139700</wp:posOffset>
            </wp:positionV>
            <wp:extent cx="472440" cy="333375"/>
            <wp:effectExtent l="0" t="0" r="3810" b="9525"/>
            <wp:wrapNone/>
            <wp:docPr id="10"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03bf272f255b2858840d3e70f53374"/>
                    <pic:cNvPicPr>
                      <a:picLocks noChangeAspect="1"/>
                    </pic:cNvPicPr>
                  </pic:nvPicPr>
                  <pic:blipFill>
                    <a:blip r:embed="rId8"/>
                    <a:srcRect l="2881" t="18762" r="9660" b="11905"/>
                    <a:stretch>
                      <a:fillRect/>
                    </a:stretch>
                  </pic:blipFill>
                  <pic:spPr>
                    <a:xfrm>
                      <a:off x="0" y="0"/>
                      <a:ext cx="472440" cy="333375"/>
                    </a:xfrm>
                    <a:prstGeom prst="rect">
                      <a:avLst/>
                    </a:prstGeom>
                    <a:noFill/>
                    <a:ln>
                      <a:noFill/>
                    </a:ln>
                  </pic:spPr>
                </pic:pic>
              </a:graphicData>
            </a:graphic>
          </wp:anchor>
        </w:drawing>
      </w:r>
      <w:r>
        <w:rPr>
          <w:rFonts w:hint="eastAsia" w:ascii="宋体" w:hAnsi="宋体"/>
          <w:kern w:val="2"/>
          <w:sz w:val="24"/>
          <w:lang w:val="en-US" w:eastAsia="zh-CN" w:bidi="ar-SA"/>
        </w:rPr>
        <w:t xml:space="preserve"> </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color w:val="000000"/>
          <w:sz w:val="22"/>
          <w:szCs w:val="22"/>
          <w:lang w:val="en-US" w:eastAsia="zh-CN"/>
        </w:rPr>
        <w:t>2020年8月10日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2"/>
              <w:pBdr>
                <w:bottom w:val="none" w:color="auto" w:sz="0" w:space="0"/>
              </w:pBdr>
              <w:tabs>
                <w:tab w:val="center" w:pos="5737"/>
                <w:tab w:val="clear" w:pos="4153"/>
              </w:tabs>
              <w:jc w:val="both"/>
              <w:rPr>
                <w:color w:val="000000"/>
                <w:sz w:val="24"/>
                <w:szCs w:val="24"/>
              </w:rPr>
            </w:pPr>
            <w:r>
              <w:rPr>
                <w:rFonts w:hint="eastAsia"/>
                <w:color w:val="000000"/>
                <w:sz w:val="24"/>
                <w:szCs w:val="24"/>
              </w:rPr>
              <w:t>内部审核检查记录表中的不符合项与内审报告的不符合项不一致</w:t>
            </w:r>
          </w:p>
        </w:tc>
        <w:tc>
          <w:tcPr>
            <w:tcW w:w="1688" w:type="dxa"/>
            <w:vAlign w:val="center"/>
          </w:tcPr>
          <w:p>
            <w:pPr>
              <w:pStyle w:val="2"/>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QEO</w:t>
            </w:r>
          </w:p>
        </w:tc>
        <w:tc>
          <w:tcPr>
            <w:tcW w:w="181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rPr>
              <w:t>管理手册中提到了《产品标识和可追溯性程序》，但</w:t>
            </w:r>
            <w:r>
              <w:rPr>
                <w:rFonts w:hint="eastAsia"/>
                <w:color w:val="000000"/>
                <w:sz w:val="24"/>
                <w:szCs w:val="24"/>
                <w:lang w:eastAsia="zh-CN"/>
              </w:rPr>
              <w:t>企业提交的</w:t>
            </w:r>
            <w:r>
              <w:rPr>
                <w:rFonts w:hint="eastAsia"/>
                <w:color w:val="000000"/>
                <w:sz w:val="24"/>
                <w:szCs w:val="24"/>
              </w:rPr>
              <w:t>程序文件中</w:t>
            </w:r>
            <w:r>
              <w:rPr>
                <w:rFonts w:hint="eastAsia"/>
                <w:color w:val="000000"/>
                <w:sz w:val="24"/>
                <w:szCs w:val="24"/>
                <w:lang w:eastAsia="zh-CN"/>
              </w:rPr>
              <w:t>无</w:t>
            </w:r>
            <w:r>
              <w:rPr>
                <w:rFonts w:hint="eastAsia"/>
                <w:color w:val="000000"/>
                <w:sz w:val="24"/>
                <w:szCs w:val="24"/>
              </w:rPr>
              <w:t>《产品标识和可追溯性程序》</w:t>
            </w:r>
            <w:r>
              <w:rPr>
                <w:rFonts w:hint="eastAsia"/>
                <w:color w:val="000000"/>
                <w:sz w:val="24"/>
                <w:szCs w:val="24"/>
                <w:lang w:eastAsia="zh-CN"/>
              </w:rPr>
              <w:t>？</w:t>
            </w:r>
          </w:p>
        </w:tc>
        <w:tc>
          <w:tcPr>
            <w:tcW w:w="1688" w:type="dxa"/>
            <w:vAlign w:val="center"/>
          </w:tcPr>
          <w:p>
            <w:pPr>
              <w:pBdr>
                <w:bottom w:val="none" w:color="auto" w:sz="0" w:space="0"/>
              </w:pBdr>
              <w:ind w:right="600"/>
              <w:jc w:val="both"/>
              <w:rPr>
                <w:color w:val="000000"/>
                <w:sz w:val="32"/>
                <w:szCs w:val="32"/>
              </w:rPr>
            </w:pPr>
            <w:r>
              <w:rPr>
                <w:rFonts w:hint="eastAsia"/>
                <w:color w:val="000000"/>
                <w:sz w:val="24"/>
                <w:szCs w:val="24"/>
                <w:lang w:val="en-US" w:eastAsia="zh-CN"/>
              </w:rPr>
              <w:t>QEO</w:t>
            </w:r>
          </w:p>
        </w:tc>
        <w:tc>
          <w:tcPr>
            <w:tcW w:w="181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手册中，没有各主管</w:t>
            </w:r>
            <w:r>
              <w:rPr>
                <w:rFonts w:hint="eastAsia"/>
                <w:color w:val="000000"/>
                <w:sz w:val="24"/>
                <w:szCs w:val="24"/>
              </w:rPr>
              <w:t>部门职责</w:t>
            </w:r>
            <w:r>
              <w:rPr>
                <w:rFonts w:hint="eastAsia"/>
                <w:color w:val="000000"/>
                <w:sz w:val="24"/>
                <w:szCs w:val="24"/>
                <w:lang w:eastAsia="zh-CN"/>
              </w:rPr>
              <w:t>权限阐述</w:t>
            </w:r>
          </w:p>
        </w:tc>
        <w:tc>
          <w:tcPr>
            <w:tcW w:w="1688" w:type="dxa"/>
            <w:vAlign w:val="center"/>
          </w:tcPr>
          <w:p>
            <w:pPr>
              <w:pBdr>
                <w:bottom w:val="none" w:color="auto" w:sz="0" w:space="0"/>
              </w:pBdr>
              <w:ind w:right="600"/>
              <w:jc w:val="both"/>
              <w:rPr>
                <w:color w:val="000000"/>
                <w:sz w:val="32"/>
                <w:szCs w:val="32"/>
              </w:rPr>
            </w:pPr>
            <w:r>
              <w:rPr>
                <w:rFonts w:hint="eastAsia"/>
                <w:color w:val="000000"/>
                <w:sz w:val="24"/>
                <w:szCs w:val="24"/>
                <w:lang w:val="en-US" w:eastAsia="zh-CN"/>
              </w:rPr>
              <w:t>QEO</w:t>
            </w:r>
          </w:p>
        </w:tc>
        <w:tc>
          <w:tcPr>
            <w:tcW w:w="181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4</w:t>
            </w: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提供的手册文件规定</w:t>
            </w:r>
            <w:r>
              <w:rPr>
                <w:rFonts w:hint="eastAsia"/>
                <w:color w:val="000000"/>
                <w:sz w:val="24"/>
                <w:szCs w:val="24"/>
                <w:lang w:val="en-US" w:eastAsia="zh-CN"/>
              </w:rPr>
              <w:t>Q8.4归属</w:t>
            </w:r>
            <w:r>
              <w:rPr>
                <w:rFonts w:hint="eastAsia"/>
                <w:color w:val="000000"/>
                <w:sz w:val="24"/>
                <w:szCs w:val="24"/>
              </w:rPr>
              <w:t>市场公关部</w:t>
            </w:r>
            <w:r>
              <w:rPr>
                <w:rFonts w:hint="eastAsia"/>
                <w:color w:val="000000"/>
                <w:sz w:val="24"/>
                <w:szCs w:val="24"/>
                <w:lang w:eastAsia="zh-CN"/>
              </w:rPr>
              <w:t>，但是与</w:t>
            </w:r>
            <w:r>
              <w:rPr>
                <w:rFonts w:hint="eastAsia"/>
                <w:color w:val="000000"/>
                <w:sz w:val="24"/>
                <w:szCs w:val="24"/>
              </w:rPr>
              <w:t>市场公关部</w:t>
            </w:r>
            <w:r>
              <w:rPr>
                <w:rFonts w:hint="eastAsia"/>
                <w:color w:val="000000"/>
                <w:sz w:val="24"/>
                <w:szCs w:val="24"/>
                <w:lang w:eastAsia="zh-CN"/>
              </w:rPr>
              <w:t>沟通，</w:t>
            </w:r>
            <w:r>
              <w:rPr>
                <w:rFonts w:hint="eastAsia"/>
                <w:color w:val="000000"/>
                <w:sz w:val="24"/>
                <w:szCs w:val="24"/>
              </w:rPr>
              <w:t>市场公关部</w:t>
            </w:r>
            <w:r>
              <w:rPr>
                <w:rFonts w:hint="eastAsia"/>
                <w:color w:val="000000"/>
                <w:sz w:val="24"/>
                <w:szCs w:val="24"/>
                <w:lang w:eastAsia="zh-CN"/>
              </w:rPr>
              <w:t>不负责</w:t>
            </w:r>
            <w:r>
              <w:rPr>
                <w:rFonts w:hint="eastAsia"/>
                <w:color w:val="000000"/>
                <w:sz w:val="24"/>
                <w:szCs w:val="24"/>
              </w:rPr>
              <w:t>采购</w:t>
            </w:r>
            <w:r>
              <w:rPr>
                <w:rFonts w:hint="eastAsia"/>
                <w:color w:val="000000"/>
                <w:sz w:val="24"/>
                <w:szCs w:val="24"/>
                <w:lang w:eastAsia="zh-CN"/>
              </w:rPr>
              <w:t>活动</w:t>
            </w:r>
          </w:p>
        </w:tc>
        <w:tc>
          <w:tcPr>
            <w:tcW w:w="1688" w:type="dxa"/>
            <w:vAlign w:val="center"/>
          </w:tcPr>
          <w:p>
            <w:pPr>
              <w:pBdr>
                <w:bottom w:val="none" w:color="auto" w:sz="0" w:space="0"/>
              </w:pBdr>
              <w:ind w:right="600"/>
              <w:jc w:val="both"/>
              <w:rPr>
                <w:color w:val="000000"/>
                <w:sz w:val="32"/>
                <w:szCs w:val="32"/>
              </w:rPr>
            </w:pPr>
            <w:r>
              <w:rPr>
                <w:rFonts w:hint="eastAsia"/>
                <w:color w:val="000000"/>
                <w:sz w:val="24"/>
                <w:szCs w:val="24"/>
                <w:lang w:val="en-US" w:eastAsia="zh-CN"/>
              </w:rPr>
              <w:t>QEO</w:t>
            </w:r>
          </w:p>
        </w:tc>
        <w:tc>
          <w:tcPr>
            <w:tcW w:w="1811" w:type="dxa"/>
            <w:vAlign w:val="center"/>
          </w:tcPr>
          <w:p>
            <w:pPr>
              <w:pStyle w:val="2"/>
              <w:pBdr>
                <w:bottom w:val="none" w:color="auto" w:sz="0" w:space="0"/>
              </w:pBdr>
              <w:tabs>
                <w:tab w:val="center" w:pos="5737"/>
                <w:tab w:val="clear" w:pos="4153"/>
              </w:tabs>
              <w:jc w:val="both"/>
              <w:rPr>
                <w:color w:val="000000"/>
                <w:sz w:val="24"/>
                <w:szCs w:val="24"/>
              </w:rPr>
            </w:pPr>
            <w:r>
              <w:rPr>
                <w:rFonts w:hint="eastAsia"/>
                <w:color w:val="000000"/>
                <w:sz w:val="24"/>
                <w:szCs w:val="24"/>
                <w:lang w:val="en-US" w:eastAsia="zh-CN"/>
              </w:rPr>
              <w:t>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w:t>
            </w:r>
            <w:r>
              <w:rPr>
                <w:rFonts w:hint="eastAsia"/>
                <w:b/>
                <w:color w:val="000000"/>
                <w:szCs w:val="21"/>
                <w:lang w:val="en-US" w:eastAsia="zh-CN"/>
              </w:rPr>
              <w:t>2日</w:t>
            </w:r>
            <w:r>
              <w:rPr>
                <w:rFonts w:hint="eastAsia"/>
                <w:b/>
                <w:color w:val="000000"/>
                <w:szCs w:val="21"/>
              </w:rPr>
              <w:t>内提交书面材料验证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360" w:lineRule="auto"/>
              <w:rPr>
                <w:rFonts w:hint="eastAsia" w:eastAsia="宋体"/>
                <w:b/>
                <w:color w:val="000000"/>
                <w:sz w:val="22"/>
                <w:szCs w:val="22"/>
                <w:lang w:val="en-US" w:eastAsia="zh-CN"/>
              </w:rPr>
            </w:pPr>
            <w:r>
              <w:rPr>
                <w:rFonts w:ascii="宋体" w:hAnsi="宋体"/>
                <w:kern w:val="2"/>
                <w:sz w:val="24"/>
                <w:lang w:val="en-US" w:eastAsia="zh-CN" w:bidi="ar-SA"/>
              </w:rPr>
              <w:drawing>
                <wp:inline distT="0" distB="0" distL="114300" distR="114300">
                  <wp:extent cx="472440" cy="333375"/>
                  <wp:effectExtent l="0" t="0" r="3810" b="9525"/>
                  <wp:docPr id="3"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03bf272f255b2858840d3e70f53374"/>
                          <pic:cNvPicPr>
                            <a:picLocks noChangeAspect="1"/>
                          </pic:cNvPicPr>
                        </pic:nvPicPr>
                        <pic:blipFill>
                          <a:blip r:embed="rId8"/>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52145" cy="311150"/>
                  <wp:effectExtent l="0" t="0" r="14605"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lum contrast="100000"/>
                          </a:blip>
                          <a:stretch>
                            <a:fillRect/>
                          </a:stretch>
                        </pic:blipFill>
                        <pic:spPr>
                          <a:xfrm>
                            <a:off x="0" y="0"/>
                            <a:ext cx="652145" cy="3111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26745" cy="274320"/>
                  <wp:effectExtent l="0" t="0" r="1905"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lum contrast="96000"/>
                          </a:blip>
                          <a:stretch>
                            <a:fillRect/>
                          </a:stretch>
                        </pic:blipFill>
                        <pic:spPr>
                          <a:xfrm>
                            <a:off x="0" y="0"/>
                            <a:ext cx="626745" cy="274320"/>
                          </a:xfrm>
                          <a:prstGeom prst="rect">
                            <a:avLst/>
                          </a:prstGeom>
                          <a:noFill/>
                          <a:ln>
                            <a:noFill/>
                          </a:ln>
                        </pic:spPr>
                      </pic:pic>
                    </a:graphicData>
                  </a:graphic>
                </wp:inline>
              </w:drawing>
            </w:r>
          </w:p>
          <w:p>
            <w:pPr>
              <w:spacing w:line="280" w:lineRule="exact"/>
              <w:ind w:firstLine="6847" w:firstLineChars="3100"/>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2020年8月10日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58240" behindDoc="0" locked="0" layoutInCell="1" allowOverlap="1">
                  <wp:simplePos x="0" y="0"/>
                  <wp:positionH relativeFrom="column">
                    <wp:posOffset>1005205</wp:posOffset>
                  </wp:positionH>
                  <wp:positionV relativeFrom="paragraph">
                    <wp:posOffset>74295</wp:posOffset>
                  </wp:positionV>
                  <wp:extent cx="721360" cy="398780"/>
                  <wp:effectExtent l="0" t="0" r="2540" b="127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lum contrast="72000"/>
                          </a:blip>
                          <a:srcRect l="3317" t="9827" r="595" b="16710"/>
                          <a:stretch>
                            <a:fillRect/>
                          </a:stretch>
                        </pic:blipFill>
                        <pic:spPr>
                          <a:xfrm>
                            <a:off x="0" y="0"/>
                            <a:ext cx="721360" cy="398780"/>
                          </a:xfrm>
                          <a:prstGeom prst="rect">
                            <a:avLst/>
                          </a:prstGeom>
                          <a:noFill/>
                          <a:ln>
                            <a:noFill/>
                          </a:ln>
                        </pic:spPr>
                      </pic:pic>
                    </a:graphicData>
                  </a:graphic>
                </wp:anchor>
              </w:drawing>
            </w:r>
            <w:r>
              <w:rPr>
                <w:rFonts w:hint="eastAsia"/>
                <w:b/>
                <w:color w:val="000000"/>
                <w:sz w:val="22"/>
                <w:szCs w:val="22"/>
              </w:rPr>
              <w:t xml:space="preserve">受审核方确认：   </w:t>
            </w:r>
          </w:p>
          <w:p>
            <w:pPr>
              <w:spacing w:line="280" w:lineRule="exact"/>
              <w:rPr>
                <w:rFonts w:hint="eastAsia" w:eastAsia="宋体"/>
                <w:b/>
                <w:color w:val="000000"/>
                <w:sz w:val="22"/>
                <w:szCs w:val="22"/>
                <w:lang w:val="en-US" w:eastAsia="zh-CN"/>
              </w:rPr>
            </w:pPr>
            <w:r>
              <w:rPr>
                <w:rFonts w:hint="eastAsia"/>
                <w:b/>
                <w:color w:val="000000"/>
                <w:sz w:val="22"/>
                <w:szCs w:val="22"/>
                <w:lang w:val="en-US" w:eastAsia="zh-CN"/>
              </w:rPr>
              <w:t xml:space="preserve"> </w:t>
            </w:r>
          </w:p>
          <w:p>
            <w:pPr>
              <w:spacing w:line="280" w:lineRule="exact"/>
              <w:rPr>
                <w:b/>
                <w:color w:val="000000"/>
                <w:sz w:val="22"/>
                <w:szCs w:val="22"/>
              </w:rPr>
            </w:pP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360" w:lineRule="auto"/>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7"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203bf272f255b2858840d3e70f53374"/>
                          <pic:cNvPicPr>
                            <a:picLocks noChangeAspect="1"/>
                          </pic:cNvPicPr>
                        </pic:nvPicPr>
                        <pic:blipFill>
                          <a:blip r:embed="rId8"/>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52145" cy="311150"/>
                  <wp:effectExtent l="0" t="0" r="14605" b="1270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lum contrast="100000"/>
                          </a:blip>
                          <a:stretch>
                            <a:fillRect/>
                          </a:stretch>
                        </pic:blipFill>
                        <pic:spPr>
                          <a:xfrm>
                            <a:off x="0" y="0"/>
                            <a:ext cx="652145" cy="3111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26745" cy="274320"/>
                  <wp:effectExtent l="0" t="0" r="1905"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A0DB6"/>
    <w:rsid w:val="00B42473"/>
    <w:rsid w:val="0300485D"/>
    <w:rsid w:val="035A1028"/>
    <w:rsid w:val="08AD4CEC"/>
    <w:rsid w:val="0F095F7E"/>
    <w:rsid w:val="0F0F33F4"/>
    <w:rsid w:val="0F4941ED"/>
    <w:rsid w:val="0FF84FDF"/>
    <w:rsid w:val="109E5B5A"/>
    <w:rsid w:val="1302528D"/>
    <w:rsid w:val="18402288"/>
    <w:rsid w:val="19330EBF"/>
    <w:rsid w:val="1A6B4497"/>
    <w:rsid w:val="1C896FC1"/>
    <w:rsid w:val="1E6E6361"/>
    <w:rsid w:val="1F716E19"/>
    <w:rsid w:val="23A7001E"/>
    <w:rsid w:val="2402642E"/>
    <w:rsid w:val="240A2BB8"/>
    <w:rsid w:val="24E965D5"/>
    <w:rsid w:val="25A64DA7"/>
    <w:rsid w:val="262C61AA"/>
    <w:rsid w:val="26B21942"/>
    <w:rsid w:val="26B662F2"/>
    <w:rsid w:val="27D51066"/>
    <w:rsid w:val="2AB846A2"/>
    <w:rsid w:val="2B631A92"/>
    <w:rsid w:val="2C005BCF"/>
    <w:rsid w:val="2E6E3B0F"/>
    <w:rsid w:val="2F007C28"/>
    <w:rsid w:val="2F342F38"/>
    <w:rsid w:val="2F81469F"/>
    <w:rsid w:val="30DA2C59"/>
    <w:rsid w:val="310A05BC"/>
    <w:rsid w:val="34AD5031"/>
    <w:rsid w:val="36534092"/>
    <w:rsid w:val="38397B9D"/>
    <w:rsid w:val="3C1F0934"/>
    <w:rsid w:val="3F580A58"/>
    <w:rsid w:val="3FE46713"/>
    <w:rsid w:val="43D82DA4"/>
    <w:rsid w:val="4563648A"/>
    <w:rsid w:val="48D2551E"/>
    <w:rsid w:val="4BDE3F80"/>
    <w:rsid w:val="4C466613"/>
    <w:rsid w:val="4CD47EEB"/>
    <w:rsid w:val="4F982E4A"/>
    <w:rsid w:val="528F1416"/>
    <w:rsid w:val="53534D50"/>
    <w:rsid w:val="55C0250E"/>
    <w:rsid w:val="56953EC4"/>
    <w:rsid w:val="57804005"/>
    <w:rsid w:val="578574AE"/>
    <w:rsid w:val="59D8564D"/>
    <w:rsid w:val="5B4C30C9"/>
    <w:rsid w:val="5D240CC5"/>
    <w:rsid w:val="5EDE15A6"/>
    <w:rsid w:val="60714ABF"/>
    <w:rsid w:val="61862977"/>
    <w:rsid w:val="63FA798A"/>
    <w:rsid w:val="662F7E8E"/>
    <w:rsid w:val="6AB04EE2"/>
    <w:rsid w:val="6AD06FA7"/>
    <w:rsid w:val="6C413576"/>
    <w:rsid w:val="6CA91F14"/>
    <w:rsid w:val="6E3668C3"/>
    <w:rsid w:val="6F40794C"/>
    <w:rsid w:val="709F23C7"/>
    <w:rsid w:val="720004BE"/>
    <w:rsid w:val="728B3B1B"/>
    <w:rsid w:val="72FE7B87"/>
    <w:rsid w:val="73503F46"/>
    <w:rsid w:val="73631DCE"/>
    <w:rsid w:val="74D66301"/>
    <w:rsid w:val="75A72AD8"/>
    <w:rsid w:val="75D0220E"/>
    <w:rsid w:val="75DD6787"/>
    <w:rsid w:val="78F50BCF"/>
    <w:rsid w:val="79BD7506"/>
    <w:rsid w:val="79CF3A57"/>
    <w:rsid w:val="7E797890"/>
    <w:rsid w:val="7EF25B61"/>
    <w:rsid w:val="7EF31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locked/>
    <w:uiPriority w:val="99"/>
    <w:rPr>
      <w:rFonts w:ascii="Times New Roman" w:hAnsi="Times New Roman" w:eastAsia="宋体" w:cs="Times New Roman"/>
      <w:sz w:val="18"/>
      <w:szCs w:val="18"/>
    </w:rPr>
  </w:style>
  <w:style w:type="character" w:customStyle="1" w:styleId="10">
    <w:name w:val="页脚 字符"/>
    <w:link w:val="4"/>
    <w:locked/>
    <w:uiPriority w:val="99"/>
    <w:rPr>
      <w:rFonts w:ascii="Times New Roman" w:hAnsi="Times New Roman" w:eastAsia="宋体" w:cs="Times New Roman"/>
      <w:sz w:val="18"/>
      <w:szCs w:val="18"/>
    </w:rPr>
  </w:style>
  <w:style w:type="character" w:customStyle="1" w:styleId="11">
    <w:name w:val="页眉 字符"/>
    <w:link w:val="2"/>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2020-08-19T01:47:08Z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