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"/>
            <w:bookmarkStart w:id="2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四川万富环境卫生管理有限公司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bookmarkStart w:id="4" w:name="_GoBack"/>
            <w:bookmarkEnd w:id="4"/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李花蓉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查公司未能提供对</w:t>
            </w:r>
            <w:r>
              <w:rPr>
                <w:rFonts w:hint="eastAsia" w:ascii="Arial" w:hAnsi="Arial" w:cs="Arial"/>
                <w:b/>
                <w:szCs w:val="21"/>
                <w:lang w:val="en-US" w:eastAsia="zh-CN"/>
              </w:rPr>
              <w:t>供方</w:t>
            </w:r>
            <w:r>
              <w:rPr>
                <w:rFonts w:hint="eastAsia" w:ascii="Arial" w:hAnsi="Arial" w:cs="Arial"/>
                <w:b/>
                <w:szCs w:val="21"/>
              </w:rPr>
              <w:t>进行评价和施加影响的证据，不符合文件和标准要求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hAnsi="宋体"/>
                <w:b/>
                <w:sz w:val="20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50430-2017标准   条款: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T37RSdUAAAAIAQAADwAA&#10;AAAAAAABACAAAAAiAAAAZHJzL2Rvd25yZXYueG1sUEsBAhQAFAAAAAgAh07iQNt5nZenAQAAKQMA&#10;AA4AAAAAAAAAAQAgAAAAJA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FOG9Y1AAAAAcBAAAPAAAAAAAAAAEA&#10;IAAAACIAAABkcnMvZG93bnJldi54bWxQSwECFAAUAAAACACHTuJAZc7CBtoBAACVAwAADgAAAAAA&#10;AAABACAAAAAj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30322"/>
    <w:rsid w:val="61D61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4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2020-08-14T23:03:09Z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