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rPr>
      </w:pPr>
      <w:r>
        <w:rPr>
          <w:rFonts w:hint="default" w:ascii="Times New Roman" w:hAnsi="Times New Roman" w:eastAsia="楷体" w:cs="Times New Roman"/>
          <w:color w:val="000000"/>
          <w:sz w:val="24"/>
          <w:szCs w:val="24"/>
        </w:rPr>
        <w:t>合同编号：</w:t>
      </w:r>
      <w:bookmarkStart w:id="0" w:name="合同编号"/>
      <w:r>
        <w:rPr>
          <w:rFonts w:hint="default" w:ascii="Times New Roman" w:hAnsi="Times New Roman" w:eastAsia="楷体" w:cs="Times New Roman"/>
          <w:color w:val="000000"/>
          <w:sz w:val="24"/>
          <w:szCs w:val="24"/>
        </w:rPr>
        <w:t>0367-2020-QJEO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河北迎策电力工程有限公司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32"/>
        <w:gridCol w:w="26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40"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7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32" w:type="dxa"/>
            <w:vAlign w:val="center"/>
          </w:tcPr>
          <w:p>
            <w:pPr>
              <w:rPr>
                <w:b/>
                <w:color w:val="000000"/>
                <w:sz w:val="20"/>
                <w:szCs w:val="20"/>
              </w:rPr>
            </w:pPr>
            <w:r>
              <w:rPr>
                <w:rFonts w:hint="eastAsia"/>
                <w:b/>
                <w:color w:val="000000"/>
                <w:sz w:val="20"/>
                <w:szCs w:val="20"/>
              </w:rPr>
              <w:t>邮箱</w:t>
            </w:r>
          </w:p>
        </w:tc>
        <w:tc>
          <w:tcPr>
            <w:tcW w:w="2441"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组长</w:t>
            </w:r>
            <w:r>
              <w:rPr>
                <w:rFonts w:hint="eastAsia" w:cs="Times New Roman"/>
                <w:sz w:val="21"/>
                <w:szCs w:val="21"/>
                <w:lang w:val="en-US" w:eastAsia="zh-CN"/>
              </w:rPr>
              <w:t>EO</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rFonts w:hint="eastAsia"/>
                <w:b/>
                <w:color w:val="000000"/>
                <w:sz w:val="20"/>
                <w:szCs w:val="20"/>
                <w:lang w:eastAsia="zh-CN"/>
              </w:rPr>
              <w:t>Q</w:t>
            </w:r>
            <w:r>
              <w:rPr>
                <w:b/>
                <w:color w:val="000000"/>
                <w:sz w:val="20"/>
                <w:szCs w:val="20"/>
              </w:rPr>
              <w:t>:审核员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组</w:t>
            </w:r>
            <w:r>
              <w:rPr>
                <w:rFonts w:hint="eastAsia" w:cs="Times New Roman"/>
                <w:sz w:val="21"/>
                <w:szCs w:val="21"/>
                <w:lang w:val="en-US" w:eastAsia="zh-CN"/>
              </w:rPr>
              <w:t>长QJ</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4"/>
            <w:vAlign w:val="center"/>
          </w:tcPr>
          <w:p>
            <w:pPr>
              <w:spacing w:line="240" w:lineRule="exact"/>
              <w:jc w:val="center"/>
              <w:rPr>
                <w:b/>
                <w:color w:val="000000"/>
                <w:sz w:val="20"/>
                <w:szCs w:val="20"/>
              </w:rPr>
            </w:pPr>
            <w:r>
              <w:rPr>
                <w:rFonts w:hint="eastAsia"/>
                <w:b/>
                <w:color w:val="000000"/>
                <w:sz w:val="20"/>
                <w:szCs w:val="20"/>
                <w:lang w:eastAsia="zh-CN"/>
              </w:rPr>
              <w:t>QJ</w:t>
            </w:r>
            <w:r>
              <w:rPr>
                <w:b/>
                <w:color w:val="000000"/>
                <w:sz w:val="20"/>
                <w:szCs w:val="20"/>
              </w:rPr>
              <w:t>:审核员</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tc>
        <w:tc>
          <w:tcPr>
            <w:tcW w:w="2179"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QJ</w:t>
            </w:r>
            <w:r>
              <w:rPr>
                <w:b/>
                <w:color w:val="000000"/>
                <w:sz w:val="20"/>
                <w:szCs w:val="20"/>
              </w:rPr>
              <w:t>:</w:t>
            </w:r>
            <w:r>
              <w:rPr>
                <w:rFonts w:hint="eastAsia"/>
                <w:b/>
                <w:color w:val="000000"/>
                <w:sz w:val="20"/>
                <w:szCs w:val="20"/>
                <w:lang w:eastAsia="zh-CN"/>
              </w:rPr>
              <w:t>28.09.02</w:t>
            </w:r>
          </w:p>
          <w:p>
            <w:pPr>
              <w:spacing w:line="240" w:lineRule="exact"/>
              <w:jc w:val="center"/>
              <w:rPr>
                <w:rFonts w:hint="eastAsia" w:eastAsia="宋体"/>
                <w:b/>
                <w:color w:val="000000"/>
                <w:sz w:val="20"/>
                <w:szCs w:val="20"/>
                <w:lang w:eastAsia="zh-CN"/>
              </w:rPr>
            </w:pPr>
            <w:r>
              <w:rPr>
                <w:b/>
                <w:color w:val="000000"/>
                <w:sz w:val="20"/>
                <w:szCs w:val="20"/>
              </w:rPr>
              <w:t>E:</w:t>
            </w:r>
            <w:r>
              <w:rPr>
                <w:rFonts w:hint="eastAsia"/>
                <w:b/>
                <w:color w:val="000000"/>
                <w:sz w:val="20"/>
                <w:szCs w:val="20"/>
                <w:lang w:eastAsia="zh-CN"/>
              </w:rPr>
              <w:t>28.09.02</w:t>
            </w:r>
          </w:p>
          <w:p>
            <w:pPr>
              <w:spacing w:line="240" w:lineRule="exact"/>
              <w:jc w:val="center"/>
              <w:rPr>
                <w:rFonts w:hint="eastAsia" w:eastAsia="宋体"/>
                <w:b/>
                <w:color w:val="000000"/>
                <w:sz w:val="20"/>
                <w:szCs w:val="20"/>
                <w:lang w:eastAsia="zh-CN"/>
              </w:rPr>
            </w:pPr>
            <w:r>
              <w:rPr>
                <w:b/>
                <w:color w:val="000000"/>
                <w:sz w:val="20"/>
                <w:szCs w:val="20"/>
              </w:rPr>
              <w:t>O:</w:t>
            </w:r>
            <w:r>
              <w:rPr>
                <w:rFonts w:hint="eastAsia"/>
                <w:b/>
                <w:color w:val="000000"/>
                <w:sz w:val="20"/>
                <w:szCs w:val="20"/>
                <w:lang w:eastAsia="zh-CN"/>
              </w:rPr>
              <w:t>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质量管理体系,环境管理体系,职业健康安全管理体系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hint="default" w:ascii="Times New Roman" w:hAnsi="Times New Roman" w:cs="Times New Roman"/>
          <w:b/>
          <w:sz w:val="21"/>
          <w:szCs w:val="21"/>
        </w:rPr>
        <w:t>GB/T50430-2017</w:t>
      </w:r>
      <w:r>
        <w:rPr>
          <w:rFonts w:ascii="宋体" w:hAnsi="宋体"/>
          <w:b/>
          <w:color w:val="000000"/>
          <w:sz w:val="20"/>
          <w:szCs w:val="20"/>
          <w:lang w:val="de-DE"/>
        </w:rPr>
        <w:t xml:space="preserve">   </w:t>
      </w: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bookmarkStart w:id="5"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5"/>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39"/>
        <w:gridCol w:w="728"/>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河北迎策电力工程有限公司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35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石家庄市裕华区槐安东路158号鑫科国际广场A座1102室</w:t>
            </w:r>
          </w:p>
        </w:tc>
        <w:tc>
          <w:tcPr>
            <w:tcW w:w="7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邮编</w:t>
            </w:r>
          </w:p>
        </w:tc>
        <w:tc>
          <w:tcPr>
            <w:tcW w:w="24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6" w:name="注册邮编"/>
            <w:r>
              <w:rPr>
                <w:rFonts w:ascii="宋体"/>
                <w:b/>
                <w:color w:val="000000"/>
                <w:sz w:val="20"/>
                <w:szCs w:val="20"/>
              </w:rPr>
              <w:t>050000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经营地址</w:t>
            </w:r>
          </w:p>
        </w:tc>
        <w:tc>
          <w:tcPr>
            <w:tcW w:w="435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7" w:name="经营地址"/>
            <w:bookmarkEnd w:id="7"/>
            <w:r>
              <w:rPr>
                <w:rFonts w:hint="eastAsia" w:ascii="宋体"/>
                <w:b/>
                <w:color w:val="000000"/>
                <w:sz w:val="20"/>
                <w:szCs w:val="20"/>
                <w:lang w:eastAsia="zh-CN"/>
              </w:rPr>
              <w:t>石家庄市裕华区槐安东路158号鑫科国际广场A座1102室</w:t>
            </w:r>
          </w:p>
        </w:tc>
        <w:tc>
          <w:tcPr>
            <w:tcW w:w="7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p>
        </w:tc>
        <w:tc>
          <w:tcPr>
            <w:tcW w:w="24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8" w:name="经营邮编"/>
            <w:bookmarkEnd w:id="8"/>
            <w:bookmarkStart w:id="9" w:name="生产邮编Add1"/>
            <w:r>
              <w:rPr>
                <w:rFonts w:ascii="宋体"/>
                <w:b/>
                <w:color w:val="000000"/>
                <w:sz w:val="20"/>
                <w:szCs w:val="20"/>
              </w:rP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0" w:name="联系人"/>
            <w:r>
              <w:rPr>
                <w:sz w:val="21"/>
                <w:szCs w:val="21"/>
              </w:rPr>
              <w:t>宋</w:t>
            </w:r>
            <w:bookmarkEnd w:id="10"/>
            <w:r>
              <w:rPr>
                <w:rFonts w:hint="eastAsia"/>
                <w:sz w:val="21"/>
                <w:szCs w:val="21"/>
                <w:lang w:val="en-US" w:eastAsia="zh-CN"/>
              </w:rPr>
              <w:t>文立</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电话</w:t>
            </w:r>
          </w:p>
        </w:tc>
        <w:tc>
          <w:tcPr>
            <w:tcW w:w="183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sz w:val="21"/>
                <w:szCs w:val="21"/>
                <w:lang w:val="en-US" w:eastAsia="zh-CN"/>
              </w:rPr>
              <w:t>18630122089</w:t>
            </w:r>
          </w:p>
        </w:tc>
        <w:tc>
          <w:tcPr>
            <w:tcW w:w="728"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传真</w:t>
            </w:r>
          </w:p>
        </w:tc>
        <w:tc>
          <w:tcPr>
            <w:tcW w:w="24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1" w:name="联系人传真Add1"/>
            <w:bookmarkEnd w:id="11"/>
            <w:r>
              <w:rPr>
                <w:rFonts w:hint="eastAsia"/>
                <w:sz w:val="21"/>
                <w:szCs w:val="21"/>
                <w:lang w:val="en-US" w:eastAsia="zh-CN"/>
              </w:rPr>
              <w:t>0311-68124306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2" w:name="法人"/>
            <w:r>
              <w:t>张鹏</w:t>
            </w:r>
            <w:bookmarkEnd w:id="12"/>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管理者代表</w:t>
            </w:r>
          </w:p>
        </w:tc>
        <w:tc>
          <w:tcPr>
            <w:tcW w:w="183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sz w:val="21"/>
                <w:szCs w:val="21"/>
              </w:rPr>
              <w:t>宋</w:t>
            </w:r>
            <w:r>
              <w:rPr>
                <w:rFonts w:hint="eastAsia"/>
                <w:sz w:val="21"/>
                <w:szCs w:val="21"/>
                <w:lang w:val="en-US" w:eastAsia="zh-CN"/>
              </w:rPr>
              <w:t>文立</w:t>
            </w:r>
          </w:p>
        </w:tc>
        <w:tc>
          <w:tcPr>
            <w:tcW w:w="728"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b/>
                <w:color w:val="000000"/>
                <w:sz w:val="20"/>
                <w:szCs w:val="20"/>
              </w:rPr>
              <w:t>邮箱</w:t>
            </w:r>
          </w:p>
        </w:tc>
        <w:tc>
          <w:tcPr>
            <w:tcW w:w="24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3" w:name="联系人邮箱Add1"/>
            <w:bookmarkEnd w:id="13"/>
            <w:r>
              <w:rPr>
                <w:rFonts w:hint="eastAsia"/>
                <w:sz w:val="21"/>
                <w:szCs w:val="21"/>
                <w:lang w:val="en-US" w:eastAsia="zh-CN"/>
              </w:rPr>
              <w:t>6100713@163.com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u w:val="single"/>
                <w:lang w:eastAsia="zh-CN"/>
              </w:rPr>
            </w:pPr>
            <w:bookmarkStart w:id="14" w:name="审核范围"/>
            <w:r>
              <w:rPr>
                <w:rFonts w:hint="eastAsia" w:ascii="宋体" w:hAnsi="宋体"/>
                <w:b/>
                <w:color w:val="000000"/>
                <w:sz w:val="20"/>
                <w:szCs w:val="20"/>
                <w:lang w:eastAsia="zh-CN"/>
              </w:rPr>
              <w:t>QJ</w:t>
            </w:r>
            <w:r>
              <w:rPr>
                <w:rFonts w:ascii="宋体" w:hAnsi="宋体"/>
                <w:b/>
                <w:color w:val="000000"/>
                <w:sz w:val="20"/>
                <w:szCs w:val="20"/>
              </w:rPr>
              <w:t>：</w:t>
            </w:r>
            <w:r>
              <w:rPr>
                <w:rFonts w:hint="eastAsia" w:ascii="宋体" w:hAnsi="宋体"/>
                <w:b/>
                <w:color w:val="000000"/>
                <w:sz w:val="20"/>
                <w:szCs w:val="20"/>
                <w:lang w:eastAsia="zh-CN"/>
              </w:rPr>
              <w:t>资质范围内的特种工程（特种设备的起重吊装）专业承包</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sz w:val="20"/>
                <w:szCs w:val="20"/>
              </w:rPr>
            </w:pPr>
            <w:r>
              <w:rPr>
                <w:rFonts w:ascii="宋体" w:hAnsi="宋体"/>
                <w:b/>
                <w:color w:val="000000"/>
                <w:sz w:val="20"/>
                <w:szCs w:val="20"/>
              </w:rPr>
              <w:t>E：</w:t>
            </w:r>
            <w:r>
              <w:rPr>
                <w:rFonts w:hint="eastAsia" w:ascii="宋体" w:hAnsi="宋体"/>
                <w:b/>
                <w:color w:val="000000"/>
                <w:sz w:val="20"/>
                <w:szCs w:val="20"/>
                <w:lang w:eastAsia="zh-CN"/>
              </w:rPr>
              <w:t>资质范围内的特种工程（特种设备的起重吊装）专业承包</w:t>
            </w:r>
            <w:r>
              <w:rPr>
                <w:rFonts w:ascii="宋体" w:hAnsi="宋体"/>
                <w:b/>
                <w:color w:val="000000"/>
                <w:sz w:val="20"/>
                <w:szCs w:val="20"/>
              </w:rPr>
              <w:t>所涉及的相关环境管理活动</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lang w:eastAsia="zh-CN"/>
              </w:rPr>
              <w:t>资质范围内的特种工程（特种设备的起重吊装）专业承包</w:t>
            </w:r>
            <w:r>
              <w:rPr>
                <w:rFonts w:ascii="宋体" w:hAnsi="宋体"/>
                <w:b/>
                <w:color w:val="000000"/>
                <w:sz w:val="20"/>
                <w:szCs w:val="20"/>
              </w:rPr>
              <w:t>所涉及的相关职业健康安全管理活动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15" w:name="专业代码"/>
            <w:r>
              <w:rPr>
                <w:rFonts w:hint="eastAsia" w:ascii="宋体"/>
                <w:b/>
                <w:color w:val="000000"/>
                <w:sz w:val="20"/>
                <w:szCs w:val="20"/>
                <w:lang w:eastAsia="zh-CN"/>
              </w:rPr>
              <w:t>28.09.02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见项目清单</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w:t>
      </w:r>
      <w:r>
        <w:rPr>
          <w:rFonts w:hint="eastAsia" w:ascii="宋体" w:hAnsi="宋体"/>
          <w:b/>
          <w:color w:val="000000"/>
          <w:sz w:val="20"/>
          <w:szCs w:val="20"/>
          <w:lang w:val="en-US" w:eastAsia="zh-CN"/>
        </w:rPr>
        <w:t>报</w:t>
      </w:r>
      <w:r>
        <w:rPr>
          <w:rFonts w:hint="eastAsia" w:ascii="宋体" w:hAnsi="宋体"/>
          <w:b/>
          <w:color w:val="000000"/>
          <w:sz w:val="20"/>
          <w:szCs w:val="20"/>
        </w:rPr>
        <w:t>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管理层、办公室、工程部、机械部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ind w:left="360" w:hanging="360"/>
              <w:rPr>
                <w:rFonts w:hint="eastAsia" w:ascii="宋体" w:eastAsia="宋体"/>
                <w:b/>
                <w:color w:val="000000"/>
                <w:sz w:val="20"/>
                <w:szCs w:val="20"/>
                <w:lang w:val="en-US" w:eastAsia="zh-CN"/>
              </w:rPr>
            </w:pPr>
            <w:r>
              <w:rPr>
                <w:sz w:val="21"/>
                <w:szCs w:val="21"/>
              </w:rPr>
              <w:t>资质范围内的特种工程（特种设备的起重吊装）专业承包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管理层、办公室、工程部、机械部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工程部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宋体"/>
                <w:b/>
                <w:color w:val="000000"/>
                <w:sz w:val="20"/>
                <w:szCs w:val="20"/>
                <w:lang w:eastAsia="zh-CN"/>
              </w:rPr>
              <w:t>石家庄市裕华区槐安东路158号鑫科国际广场A座1102室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b/>
                <w:color w:val="000000"/>
                <w:sz w:val="20"/>
                <w:szCs w:val="20"/>
                <w:lang w:eastAsia="zh-CN"/>
              </w:rPr>
              <w:t>石家庄市裕华区槐安东路158号鑫科国际广场A座1102室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建筑业企业资质证书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产品技术标准号：《建筑施工起重吊装工程安全技术规范》（JGJ276-2012）□合同：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环境执行标准：</w:t>
            </w:r>
            <w:r>
              <w:rPr>
                <w:rFonts w:hint="default" w:ascii="Times New Roman" w:hAnsi="Times New Roman" w:cs="Times New Roman"/>
                <w:color w:val="000000"/>
                <w:sz w:val="20"/>
                <w:szCs w:val="20"/>
              </w:rPr>
              <w:t>GB3095-2012《环境空气质量标准》</w:t>
            </w:r>
            <w:r>
              <w:rPr>
                <w:rFonts w:hint="default" w:ascii="Times New Roman" w:hAnsi="Times New Roman" w:cs="Times New Roman"/>
                <w:color w:val="000000"/>
                <w:sz w:val="20"/>
                <w:szCs w:val="20"/>
                <w:lang w:eastAsia="zh-CN"/>
              </w:rPr>
              <w:t>、 GB12523-2011</w:t>
            </w:r>
            <w:r>
              <w:rPr>
                <w:rFonts w:hint="eastAsia" w:cs="Times New Roman"/>
                <w:color w:val="000000"/>
                <w:sz w:val="20"/>
                <w:szCs w:val="20"/>
                <w:lang w:eastAsia="zh-CN"/>
              </w:rPr>
              <w:t>《</w:t>
            </w:r>
            <w:r>
              <w:rPr>
                <w:rFonts w:hint="default" w:ascii="Times New Roman" w:hAnsi="Times New Roman" w:cs="Times New Roman"/>
                <w:color w:val="000000"/>
                <w:sz w:val="20"/>
                <w:szCs w:val="20"/>
                <w:lang w:eastAsia="zh-CN"/>
              </w:rPr>
              <w:t>建筑施工场界环境噪声排放标准</w:t>
            </w:r>
            <w:r>
              <w:rPr>
                <w:rFonts w:hint="eastAsia"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numPr>
          <w:ilvl w:val="0"/>
          <w:numId w:val="1"/>
        </w:num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审查受审核方理解和实施标准要求的情况，特别是对管理体系的关键绩效或重要的因素、过程、目标和运作的识别情况</w:t>
      </w:r>
    </w:p>
    <w:p>
      <w:pPr>
        <w:numPr>
          <w:ilvl w:val="0"/>
          <w:numId w:val="0"/>
        </w:numPr>
        <w:spacing w:before="156" w:beforeLines="50" w:line="360" w:lineRule="exact"/>
        <w:rPr>
          <w:rFonts w:hint="eastAsia" w:ascii="宋体" w:hAnsi="宋体" w:eastAsia="宋体" w:cs="Times New Roman"/>
          <w:b/>
          <w:color w:val="000000"/>
          <w:spacing w:val="-2"/>
          <w:kern w:val="2"/>
          <w:sz w:val="26"/>
          <w:szCs w:val="26"/>
          <w:lang w:val="en-US" w:eastAsia="zh-CN" w:bidi="ar-SA"/>
        </w:rPr>
      </w:pP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起重机就位、（现场负责人、安全员、起重指挥、起重机司机等）人员就位→检查各安全装置、限位装置、回转装置、吊钩装置、钢丝绳等部件，确保安全→安装安全绳、安全带等→开始吊装→变幅操作、臂架伸缩操作、起升操作、回转操作按要求进行→吊装完毕，单塔验收→按要求撤场，进入下一吊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关键过程有：起重设备的安装就位、吊装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针对关键过程建立的控制文件有：施工机具管理制度、安全生产管理制度、工程技术管理制度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设备</w:t>
            </w:r>
            <w:r>
              <w:rPr>
                <w:rFonts w:hint="eastAsia" w:ascii="宋体" w:hAnsi="宋体"/>
                <w:color w:val="000000"/>
                <w:sz w:val="20"/>
                <w:szCs w:val="20"/>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主要设备：80T汽车吊3辆、180履带吊、50型铲车、70T汽车吊1辆、75T汽吊1一辆、650T履带、1200T汽车吊、1020汽车吊、1600T汽车吊，液压扭矩扳子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监视和测量设备（请简述主要监视和测量设备）：液压扭矩扳子、液压泵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color w:val="000000"/>
                <w:sz w:val="20"/>
                <w:szCs w:val="20"/>
              </w:rPr>
            </w:pPr>
            <w:r>
              <w:rPr>
                <w:rFonts w:hint="eastAsia" w:ascii="宋体"/>
                <w:color w:val="000000"/>
                <w:sz w:val="20"/>
                <w:szCs w:val="20"/>
              </w:rPr>
              <w:t>现场查看办公面积</w:t>
            </w:r>
            <w:r>
              <w:rPr>
                <w:rFonts w:hint="eastAsia" w:ascii="宋体"/>
                <w:color w:val="000000"/>
                <w:sz w:val="20"/>
                <w:szCs w:val="20"/>
                <w:lang w:val="en-US" w:eastAsia="zh-CN"/>
              </w:rPr>
              <w:t>150平米</w:t>
            </w:r>
            <w:r>
              <w:rPr>
                <w:rFonts w:hint="eastAsia" w:ascii="宋体"/>
                <w:color w:val="000000"/>
                <w:sz w:val="20"/>
                <w:szCs w:val="20"/>
              </w:rPr>
              <w:t>适宜，光线充足、温度适宜，配有绿植、暖气、引水机等，办公环境满足要求。</w:t>
            </w:r>
          </w:p>
          <w:p>
            <w:pPr>
              <w:rPr>
                <w:rFonts w:hint="eastAsia" w:ascii="宋体" w:eastAsia="宋体"/>
                <w:color w:val="000000"/>
                <w:sz w:val="20"/>
                <w:szCs w:val="20"/>
                <w:lang w:eastAsia="zh-CN"/>
              </w:rPr>
            </w:pPr>
            <w:r>
              <w:rPr>
                <w:rFonts w:hint="eastAsia" w:ascii="宋体"/>
                <w:color w:val="000000"/>
                <w:sz w:val="20"/>
                <w:szCs w:val="20"/>
                <w:lang w:val="en-US" w:eastAsia="zh-CN"/>
              </w:rPr>
              <w:t>查看施工现场</w:t>
            </w:r>
            <w:r>
              <w:rPr>
                <w:rFonts w:hint="eastAsia" w:ascii="宋体"/>
                <w:color w:val="000000"/>
                <w:sz w:val="20"/>
                <w:szCs w:val="20"/>
              </w:rPr>
              <w:t>安全适用，卫生健康，整洁舒适；对施工场地机具设备、各类原材料及半成品堆放布置要求井然有序；推行现场文明施工</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固废排放、噪声排放、火灾事故的发生、资源能源消耗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针对重要环境因素建立了运行控制程序：废弃物排放及噪声控制程序、消防控制程序、应急准备和响应控制程序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应急预案有：</w:t>
            </w:r>
            <w:r>
              <w:rPr>
                <w:rFonts w:hint="eastAsia"/>
                <w:sz w:val="21"/>
                <w:szCs w:val="21"/>
              </w:rPr>
              <w:t>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火灾事故的发生、触电、噪声伤害、意外伤害、物体打击、高空坠落、机械/车辆伤害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针对不可接受风险建立运行控制程序：劳动防护用品控制程序、消防控制程序、应急准备和响应控制程序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8</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w:t>
      </w:r>
      <w:r>
        <w:rPr>
          <w:rFonts w:hint="eastAsia" w:ascii="宋体" w:hAnsi="宋体" w:eastAsia="宋体" w:cs="Times New Roman"/>
          <w:b/>
          <w:color w:val="000000"/>
          <w:spacing w:val="-2"/>
          <w:kern w:val="2"/>
          <w:sz w:val="26"/>
          <w:szCs w:val="26"/>
          <w:lang w:val="en-US" w:eastAsia="zh-CN" w:bidi="ar-SA"/>
        </w:rPr>
        <w:t>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办公室、工程部、机械部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办公室、工程部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办公室、工程部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办公室、工程部</w:t>
            </w:r>
          </w:p>
        </w:tc>
      </w:tr>
    </w:tbl>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ascii="Times New Roman" w:hAnsi="Times New Roman" w:eastAsia="宋体" w:cs="Times New Roman"/>
          <w:sz w:val="21"/>
          <w:szCs w:val="21"/>
          <w:lang w:eastAsia="zh-CN"/>
        </w:rPr>
      </w:pPr>
      <w:r>
        <w:rPr>
          <w:rFonts w:hint="default" w:ascii="Times New Roman" w:hAnsi="Times New Roman" w:cs="Times New Roman"/>
          <w:sz w:val="21"/>
          <w:szCs w:val="21"/>
          <w:lang w:eastAsia="zh-CN"/>
        </w:rPr>
        <w:t>QJ</w:t>
      </w:r>
      <w:r>
        <w:rPr>
          <w:rFonts w:hint="default" w:ascii="Times New Roman" w:hAnsi="Times New Roman" w:cs="Times New Roman"/>
          <w:sz w:val="21"/>
          <w:szCs w:val="21"/>
        </w:rPr>
        <w:t>：</w:t>
      </w:r>
      <w:r>
        <w:rPr>
          <w:rFonts w:hint="eastAsia" w:cs="Times New Roman"/>
          <w:sz w:val="21"/>
          <w:szCs w:val="21"/>
          <w:lang w:eastAsia="zh-CN"/>
        </w:rPr>
        <w:t>资质范围内的特种工程（特种设备的起重吊装）专业承包</w:t>
      </w:r>
    </w:p>
    <w:p>
      <w:pPr>
        <w:ind w:firstLine="210" w:firstLineChars="100"/>
        <w:rPr>
          <w:rFonts w:hint="default" w:ascii="Times New Roman" w:hAnsi="Times New Roman" w:cs="Times New Roman"/>
          <w:sz w:val="21"/>
          <w:szCs w:val="21"/>
        </w:rPr>
      </w:pPr>
      <w:r>
        <w:rPr>
          <w:rFonts w:hint="default" w:ascii="Times New Roman" w:hAnsi="Times New Roman" w:cs="Times New Roman"/>
          <w:sz w:val="21"/>
          <w:szCs w:val="21"/>
        </w:rPr>
        <w:t>E：</w:t>
      </w:r>
      <w:r>
        <w:rPr>
          <w:rFonts w:hint="eastAsia" w:cs="Times New Roman"/>
          <w:sz w:val="21"/>
          <w:szCs w:val="21"/>
          <w:lang w:eastAsia="zh-CN"/>
        </w:rPr>
        <w:t>资质范围内的特种工程（特种设备的起重吊装）专业承包</w:t>
      </w:r>
      <w:r>
        <w:rPr>
          <w:rFonts w:hint="default" w:ascii="Times New Roman" w:hAnsi="Times New Roman" w:cs="Times New Roman"/>
          <w:sz w:val="21"/>
          <w:szCs w:val="21"/>
        </w:rPr>
        <w:t>所涉及的相关环境管理活动</w:t>
      </w:r>
    </w:p>
    <w:p>
      <w:pPr>
        <w:spacing w:line="300" w:lineRule="auto"/>
        <w:ind w:firstLine="210" w:firstLineChars="100"/>
        <w:rPr>
          <w:rFonts w:hint="eastAsia" w:ascii="宋体" w:hAnsi="宋体"/>
          <w:b/>
          <w:color w:val="000000"/>
          <w:sz w:val="20"/>
          <w:szCs w:val="20"/>
        </w:rPr>
      </w:pPr>
      <w:r>
        <w:rPr>
          <w:rFonts w:hint="default" w:ascii="Times New Roman" w:hAnsi="Times New Roman" w:cs="Times New Roman"/>
          <w:sz w:val="21"/>
          <w:szCs w:val="21"/>
        </w:rPr>
        <w:t>O：</w:t>
      </w:r>
      <w:r>
        <w:rPr>
          <w:rFonts w:hint="eastAsia" w:cs="Times New Roman"/>
          <w:sz w:val="21"/>
          <w:szCs w:val="21"/>
          <w:lang w:eastAsia="zh-CN"/>
        </w:rPr>
        <w:t>资质范围内的特种工程（特种设备的起重吊装）专业承包</w:t>
      </w:r>
      <w:r>
        <w:rPr>
          <w:rFonts w:hint="default" w:ascii="Times New Roman" w:hAnsi="Times New Roman" w:cs="Times New Roman"/>
          <w:sz w:val="21"/>
          <w:szCs w:val="21"/>
        </w:rPr>
        <w:t>所涉及的相关职业健康安全管理活动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1784350</wp:posOffset>
            </wp:positionH>
            <wp:positionV relativeFrom="paragraph">
              <wp:posOffset>206375</wp:posOffset>
            </wp:positionV>
            <wp:extent cx="1494155" cy="507365"/>
            <wp:effectExtent l="0" t="0" r="4445" b="63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494155" cy="50736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2020.8.16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识别的确认过程不符</w:t>
            </w: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val="en-US" w:eastAsia="zh-CN"/>
              </w:rPr>
              <w:t>Q8.5.1</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w:t>
            </w:r>
            <w:r>
              <w:rPr>
                <w:rFonts w:hint="eastAsia"/>
                <w:b/>
                <w:color w:val="000000"/>
                <w:szCs w:val="21"/>
                <w:lang w:val="en-US" w:eastAsia="zh-CN"/>
              </w:rPr>
              <w:t>二阶段审核前</w:t>
            </w:r>
            <w:r>
              <w:rPr>
                <w:rFonts w:hint="eastAsia"/>
                <w:b/>
                <w:color w:val="000000"/>
                <w:szCs w:val="21"/>
              </w:rPr>
              <w:t>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drawing>
                <wp:anchor distT="0" distB="0" distL="114300" distR="114300" simplePos="0" relativeHeight="251658240" behindDoc="1" locked="0" layoutInCell="1" allowOverlap="1">
                  <wp:simplePos x="0" y="0"/>
                  <wp:positionH relativeFrom="column">
                    <wp:posOffset>628650</wp:posOffset>
                  </wp:positionH>
                  <wp:positionV relativeFrom="paragraph">
                    <wp:posOffset>12700</wp:posOffset>
                  </wp:positionV>
                  <wp:extent cx="1327150" cy="45085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327150" cy="45085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r>
              <w:drawing>
                <wp:anchor distT="0" distB="0" distL="114300" distR="114300" simplePos="0" relativeHeight="251661312" behindDoc="0" locked="0" layoutInCell="1" allowOverlap="1">
                  <wp:simplePos x="0" y="0"/>
                  <wp:positionH relativeFrom="column">
                    <wp:posOffset>1022350</wp:posOffset>
                  </wp:positionH>
                  <wp:positionV relativeFrom="paragraph">
                    <wp:posOffset>13970</wp:posOffset>
                  </wp:positionV>
                  <wp:extent cx="554990" cy="489585"/>
                  <wp:effectExtent l="0" t="0" r="3810" b="571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54990" cy="489585"/>
                          </a:xfrm>
                          <a:prstGeom prst="rect">
                            <a:avLst/>
                          </a:prstGeom>
                          <a:noFill/>
                          <a:ln>
                            <a:noFill/>
                          </a:ln>
                        </pic:spPr>
                      </pic:pic>
                    </a:graphicData>
                  </a:graphic>
                </wp:anchor>
              </w:drawing>
            </w:r>
          </w:p>
          <w:p>
            <w:pPr>
              <w:spacing w:line="280" w:lineRule="exact"/>
              <w:rPr>
                <w:rFonts w:hint="eastAsia"/>
                <w:b/>
                <w:color w:val="000000"/>
                <w:sz w:val="22"/>
                <w:szCs w:val="22"/>
              </w:rPr>
            </w:pPr>
            <w:bookmarkStart w:id="16" w:name="_GoBack"/>
            <w:bookmarkEnd w:id="16"/>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drawing>
                <wp:anchor distT="0" distB="0" distL="114300" distR="114300" simplePos="0" relativeHeight="251659264" behindDoc="1" locked="0" layoutInCell="1" allowOverlap="1">
                  <wp:simplePos x="0" y="0"/>
                  <wp:positionH relativeFrom="column">
                    <wp:posOffset>617220</wp:posOffset>
                  </wp:positionH>
                  <wp:positionV relativeFrom="paragraph">
                    <wp:posOffset>218440</wp:posOffset>
                  </wp:positionV>
                  <wp:extent cx="1327150" cy="450850"/>
                  <wp:effectExtent l="0" t="0" r="6350" b="635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327150" cy="450850"/>
                          </a:xfrm>
                          <a:prstGeom prst="rect">
                            <a:avLst/>
                          </a:prstGeom>
                          <a:noFill/>
                          <a:ln>
                            <a:noFill/>
                          </a:ln>
                        </pic:spPr>
                      </pic:pic>
                    </a:graphicData>
                  </a:graphic>
                </wp:anchor>
              </w:drawing>
            </w: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方正粗黑宋简体">
    <w:panose1 w:val="02000000000000000000"/>
    <w:charset w:val="86"/>
    <w:family w:val="auto"/>
    <w:pitch w:val="default"/>
    <w:sig w:usb0="A00002BF" w:usb1="184F6CFA" w:usb2="00000012" w:usb3="00000000" w:csb0="00040001" w:csb1="0000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C0B6E5"/>
    <w:multiLevelType w:val="singleLevel"/>
    <w:tmpl w:val="BDC0B6E5"/>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6542D9"/>
    <w:rsid w:val="34FF7EB2"/>
    <w:rsid w:val="38D82BCA"/>
    <w:rsid w:val="59A65F66"/>
    <w:rsid w:val="77B778D5"/>
    <w:rsid w:val="786F3A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17</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2020-08-23T04:53:51Z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