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r>
        <w:ptab w:relativeTo="margin" w:alignment="center" w:leader="none"/>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过程与活动、</w:t>
            </w:r>
          </w:p>
          <w:p>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抽样计划</w:t>
            </w:r>
          </w:p>
        </w:tc>
        <w:tc>
          <w:tcPr>
            <w:tcW w:w="960" w:type="dxa"/>
            <w:vMerge w:val="restart"/>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涉及</w:t>
            </w:r>
          </w:p>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条款</w:t>
            </w:r>
          </w:p>
        </w:tc>
        <w:tc>
          <w:tcPr>
            <w:tcW w:w="10004"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受审核部门： 管理层     主管领导/陪同人员：韩瑜</w:t>
            </w:r>
          </w:p>
        </w:tc>
        <w:tc>
          <w:tcPr>
            <w:tcW w:w="1585" w:type="dxa"/>
            <w:vMerge w:val="restart"/>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276" w:lineRule="auto"/>
              <w:rPr>
                <w:rFonts w:asciiTheme="minorEastAsia" w:hAnsiTheme="minorEastAsia" w:eastAsiaTheme="minorEastAsia"/>
                <w:szCs w:val="21"/>
              </w:rPr>
            </w:pPr>
          </w:p>
        </w:tc>
        <w:tc>
          <w:tcPr>
            <w:tcW w:w="960" w:type="dxa"/>
            <w:vMerge w:val="continue"/>
            <w:vAlign w:val="center"/>
          </w:tcPr>
          <w:p>
            <w:pPr>
              <w:spacing w:line="276" w:lineRule="auto"/>
              <w:rPr>
                <w:rFonts w:asciiTheme="minorEastAsia" w:hAnsiTheme="minorEastAsia" w:eastAsiaTheme="minorEastAsia"/>
                <w:szCs w:val="21"/>
              </w:rPr>
            </w:pPr>
          </w:p>
        </w:tc>
        <w:tc>
          <w:tcPr>
            <w:tcW w:w="10004" w:type="dxa"/>
            <w:vAlign w:val="center"/>
          </w:tcPr>
          <w:p>
            <w:pPr>
              <w:spacing w:before="120" w:line="276" w:lineRule="auto"/>
              <w:rPr>
                <w:rFonts w:asciiTheme="minorEastAsia" w:hAnsiTheme="minorEastAsia" w:eastAsiaTheme="minorEastAsia"/>
                <w:szCs w:val="21"/>
              </w:rPr>
            </w:pPr>
            <w:r>
              <w:rPr>
                <w:rFonts w:hint="eastAsia" w:asciiTheme="minorEastAsia" w:hAnsiTheme="minorEastAsia" w:eastAsiaTheme="minorEastAsia"/>
                <w:szCs w:val="21"/>
              </w:rPr>
              <w:t>审核员：朱晓丽   审核时间：20</w:t>
            </w:r>
            <w:r>
              <w:rPr>
                <w:rFonts w:hint="eastAsia" w:asciiTheme="minorEastAsia" w:hAnsiTheme="minorEastAsia" w:eastAsiaTheme="minorEastAsia"/>
                <w:szCs w:val="21"/>
                <w:lang w:val="en-US" w:eastAsia="zh-CN"/>
              </w:rPr>
              <w:t>20</w:t>
            </w:r>
            <w:r>
              <w:rPr>
                <w:rFonts w:hint="eastAsia" w:asciiTheme="minorEastAsia" w:hAnsiTheme="minorEastAsia" w:eastAsiaTheme="minorEastAsia"/>
                <w:szCs w:val="21"/>
              </w:rPr>
              <w:t>年8月</w:t>
            </w:r>
            <w:r>
              <w:rPr>
                <w:rFonts w:hint="eastAsia" w:asciiTheme="minorEastAsia" w:hAnsiTheme="minorEastAsia" w:eastAsiaTheme="minorEastAsia"/>
                <w:szCs w:val="21"/>
                <w:lang w:val="en-US" w:eastAsia="zh-CN"/>
              </w:rPr>
              <w:t>19</w:t>
            </w:r>
            <w:r>
              <w:rPr>
                <w:rFonts w:hint="eastAsia" w:asciiTheme="minorEastAsia" w:hAnsiTheme="minorEastAsia" w:eastAsiaTheme="minorEastAsia"/>
                <w:szCs w:val="21"/>
              </w:rPr>
              <w:t>日</w:t>
            </w:r>
          </w:p>
        </w:tc>
        <w:tc>
          <w:tcPr>
            <w:tcW w:w="1585" w:type="dxa"/>
            <w:vMerge w:val="continue"/>
          </w:tcPr>
          <w:p>
            <w:pPr>
              <w:spacing w:line="276"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276" w:lineRule="auto"/>
              <w:rPr>
                <w:rFonts w:asciiTheme="minorEastAsia" w:hAnsiTheme="minorEastAsia" w:eastAsiaTheme="minorEastAsia"/>
                <w:szCs w:val="21"/>
              </w:rPr>
            </w:pPr>
          </w:p>
        </w:tc>
        <w:tc>
          <w:tcPr>
            <w:tcW w:w="960" w:type="dxa"/>
            <w:vMerge w:val="continue"/>
            <w:vAlign w:val="center"/>
          </w:tcPr>
          <w:p>
            <w:pPr>
              <w:spacing w:line="276" w:lineRule="auto"/>
              <w:rPr>
                <w:rFonts w:asciiTheme="minorEastAsia" w:hAnsiTheme="minorEastAsia" w:eastAsiaTheme="minorEastAsia"/>
                <w:szCs w:val="21"/>
              </w:rPr>
            </w:pP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审核条款：4.1，4.2，4.3，4.4，5.1.1，5.1.2，5.2.1，5.2.2，5.3，6.1，6.2，6.3，7.1.1，9.1.1，</w:t>
            </w:r>
            <w:r>
              <w:rPr>
                <w:rFonts w:hint="eastAsia" w:asciiTheme="minorEastAsia" w:hAnsiTheme="minorEastAsia" w:eastAsiaTheme="minorEastAsia"/>
                <w:szCs w:val="21"/>
                <w:lang w:val="en-US" w:eastAsia="zh-CN"/>
              </w:rPr>
              <w:t xml:space="preserve">92 </w:t>
            </w:r>
            <w:r>
              <w:rPr>
                <w:rFonts w:hint="eastAsia" w:asciiTheme="minorEastAsia" w:hAnsiTheme="minorEastAsia" w:eastAsiaTheme="minorEastAsia"/>
                <w:szCs w:val="21"/>
              </w:rPr>
              <w:t>9.3，10.1，10.3</w:t>
            </w:r>
          </w:p>
        </w:tc>
        <w:tc>
          <w:tcPr>
            <w:tcW w:w="1585" w:type="dxa"/>
            <w:vMerge w:val="continue"/>
          </w:tcPr>
          <w:p>
            <w:pPr>
              <w:spacing w:line="276"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p>
        </w:tc>
        <w:tc>
          <w:tcPr>
            <w:tcW w:w="960" w:type="dxa"/>
            <w:vAlign w:val="center"/>
          </w:tcPr>
          <w:p>
            <w:pPr>
              <w:spacing w:line="276" w:lineRule="auto"/>
              <w:rPr>
                <w:rFonts w:asciiTheme="minorEastAsia" w:hAnsiTheme="minorEastAsia" w:eastAsiaTheme="minorEastAsia"/>
                <w:szCs w:val="21"/>
              </w:rPr>
            </w:pP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确认受审方名称：北京中软智控信息技术有限公司</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注册</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经营地址</w:t>
            </w:r>
            <w:r>
              <w:rPr>
                <w:rFonts w:hint="eastAsia" w:asciiTheme="minorEastAsia" w:hAnsiTheme="minorEastAsia" w:eastAsiaTheme="minorEastAsia"/>
                <w:szCs w:val="21"/>
                <w:lang w:val="en-US" w:eastAsia="zh-CN"/>
              </w:rPr>
              <w:t>变更为</w:t>
            </w:r>
            <w:r>
              <w:rPr>
                <w:rFonts w:hint="eastAsia" w:asciiTheme="minorEastAsia" w:hAnsiTheme="minorEastAsia" w:eastAsiaTheme="minorEastAsia"/>
                <w:szCs w:val="21"/>
              </w:rPr>
              <w:t>：</w:t>
            </w:r>
            <w:r>
              <w:rPr>
                <w:rFonts w:hint="eastAsia"/>
                <w:szCs w:val="21"/>
              </w:rPr>
              <w:t>北京市海淀区上地十街1号院1号楼18层1805</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资质确认：营业执照真实有效。</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审核范围</w:t>
            </w:r>
            <w:r>
              <w:rPr>
                <w:rFonts w:hint="eastAsia" w:asciiTheme="minorEastAsia" w:hAnsiTheme="minorEastAsia" w:eastAsiaTheme="minorEastAsia"/>
                <w:szCs w:val="21"/>
                <w:lang w:val="en-US" w:eastAsia="zh-CN"/>
              </w:rPr>
              <w:t>变更为</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应用软件开发</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总经理：黄训斌，管理者代表：韩瑜</w:t>
            </w:r>
          </w:p>
        </w:tc>
        <w:tc>
          <w:tcPr>
            <w:tcW w:w="1585" w:type="dxa"/>
          </w:tcPr>
          <w:p>
            <w:pPr>
              <w:spacing w:line="276"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组织及其环境</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4.1</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公司主要客户群是企事业单位；公司主要进行</w:t>
            </w:r>
            <w:r>
              <w:rPr>
                <w:rFonts w:hint="eastAsia" w:asciiTheme="minorEastAsia" w:hAnsiTheme="minorEastAsia" w:eastAsiaTheme="minorEastAsia"/>
                <w:szCs w:val="21"/>
                <w:lang w:val="en-US" w:eastAsia="zh-CN"/>
              </w:rPr>
              <w:t>应用软件开发</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公司于20</w:t>
            </w:r>
            <w:r>
              <w:rPr>
                <w:rFonts w:hint="eastAsia" w:asciiTheme="minorEastAsia" w:hAnsiTheme="minorEastAsia" w:eastAsiaTheme="minorEastAsia"/>
                <w:szCs w:val="21"/>
                <w:lang w:val="en-US" w:eastAsia="zh-CN"/>
              </w:rPr>
              <w:t>20</w:t>
            </w:r>
            <w:r>
              <w:rPr>
                <w:rFonts w:hint="eastAsia" w:asciiTheme="minorEastAsia" w:hAnsiTheme="minorEastAsia" w:eastAsiaTheme="minorEastAsia"/>
                <w:szCs w:val="21"/>
              </w:rPr>
              <w:t>年1月20日依据GB/T19001-2016标准对质量手册\程序文件进行修订</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范围进行变更：应用软件开发</w:t>
            </w:r>
            <w:r>
              <w:rPr>
                <w:rFonts w:hint="eastAsia" w:asciiTheme="minorEastAsia" w:hAnsiTheme="minorEastAsia" w:eastAsiaTheme="minorEastAsia"/>
                <w:szCs w:val="21"/>
              </w:rPr>
              <w:t>，目前版本为A/</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版，由管理者代表组织人员编写，总经理批准实施。文件中描述了质量管理体系建立的原则及质量管理体系的各个过程。确定了质量管理体系的过程及控制方法，配备了所需设施及符合能力要求的各任职人员。</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公司通过多种来源获得内外部因素的信息，包括国家和国际新闻、网站、行业协会等。公司识别、确定了与战略、目标相关、影响实现管理体系预期结果的内外部因素，并且关注不断变化的内外部信息.</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抽《外部和内部环境因素确定表》：</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外部因素：宏观经济因素、竞争力因素、影响工作环境因素、技术因素等</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内部因素：资源因素、人力因素、运营因素、组织治理相关因素等</w:t>
            </w:r>
          </w:p>
          <w:p>
            <w:pPr>
              <w:adjustRightInd w:val="0"/>
              <w:snapToGrid w:val="0"/>
              <w:spacing w:line="276" w:lineRule="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基本无变更，疫情对企业有一定影响，目前基本恢复正常</w:t>
            </w:r>
          </w:p>
        </w:tc>
        <w:tc>
          <w:tcPr>
            <w:tcW w:w="1585" w:type="dxa"/>
          </w:tcPr>
          <w:p>
            <w:pPr>
              <w:spacing w:line="276"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相关方的需求和期望</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4.2</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公司识别并确定了影响公司提供产品和服务能力的利益相关方：客户、员工、供应商等。</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管代介绍公司通过投标、合同约定形式了解相关方的需求，然后提供出满足他们要求提供优质产品和完善的服务，目前公司能满足相关方的需求和期望。</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相关方进行监视和评审的方式方法：公司通过走访、会议、上级文件、标准和规范的获取等方式对相关方的信息进行监视和评审。</w:t>
            </w:r>
          </w:p>
          <w:p>
            <w:pPr>
              <w:adjustRightInd w:val="0"/>
              <w:snapToGrid w:val="0"/>
              <w:spacing w:line="276" w:lineRule="auto"/>
              <w:rPr>
                <w:rFonts w:asciiTheme="minorEastAsia" w:hAnsiTheme="minorEastAsia" w:eastAsiaTheme="minorEastAsia"/>
                <w:szCs w:val="21"/>
              </w:rPr>
            </w:pP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提供《质量管理体系有关的利益相关方及其要求确定表》，写明相关方的需求和期望主要表现如下：</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顾客：产品符合性、产品价格、产品交货期。</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外部供应商：公司稳定健康发展，加工费回款及时</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员工：</w:t>
            </w:r>
            <w:r>
              <w:rPr>
                <w:rFonts w:hint="eastAsia"/>
              </w:rPr>
              <w:t>公司稳定健康发展，收入稳定，提供培训机会，有较好的成长空间</w:t>
            </w:r>
          </w:p>
          <w:p>
            <w:pPr>
              <w:adjustRightInd w:val="0"/>
              <w:snapToGrid w:val="0"/>
              <w:spacing w:line="276" w:lineRule="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基本无变更</w:t>
            </w:r>
          </w:p>
        </w:tc>
        <w:tc>
          <w:tcPr>
            <w:tcW w:w="1585" w:type="dxa"/>
          </w:tcPr>
          <w:p>
            <w:pPr>
              <w:spacing w:line="276"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质量管理体系的范围</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4.3</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公司按照标准要求编写了体系文件于20</w:t>
            </w:r>
            <w:r>
              <w:rPr>
                <w:rFonts w:hint="eastAsia" w:asciiTheme="minorEastAsia" w:hAnsiTheme="minorEastAsia" w:eastAsiaTheme="minorEastAsia"/>
                <w:szCs w:val="21"/>
                <w:lang w:val="en-US" w:eastAsia="zh-CN"/>
              </w:rPr>
              <w:t>20</w:t>
            </w:r>
            <w:r>
              <w:rPr>
                <w:rFonts w:hint="eastAsia" w:asciiTheme="minorEastAsia" w:hAnsiTheme="minorEastAsia" w:eastAsiaTheme="minorEastAsia"/>
                <w:szCs w:val="21"/>
              </w:rPr>
              <w:t>年1月20日修订实施， 管理体系文件包括管理手册、程序文件、作业文件和记录表格等内容，管理手册中包括了管理方针和管理目标，并给出了各级文件的接口。</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质量手册中明确了体系的范围。公司明确了质量管理体系的边界、范围，在确定质量管理体系的范围时考虑了公司的内外部因素和相关方的需求和期望，考虑了公司的产品和服务，与公司的宗旨和战略方向一致。符合标准要求。</w:t>
            </w:r>
          </w:p>
        </w:tc>
        <w:tc>
          <w:tcPr>
            <w:tcW w:w="1585" w:type="dxa"/>
          </w:tcPr>
          <w:p>
            <w:pPr>
              <w:spacing w:line="276"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质量管理体系及其过程</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4.4</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公司对过程及相互关系进行了整理，确定了组织机构，明确了职责，确定管理体系的边界和适用性，考虑了内外部问题、组织单元、职能和物理边界、活动、产品和服务、包括实施控制与施加影响的权限和能力，据此建立了文件化的管理体系，以确保体系在运行中的完整性。 配备了各种资源满足体系运行的需要。 确立了监视测量的方法。</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公司无外包过程。</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体系无删减。</w:t>
            </w:r>
          </w:p>
        </w:tc>
        <w:tc>
          <w:tcPr>
            <w:tcW w:w="1585" w:type="dxa"/>
          </w:tcPr>
          <w:p>
            <w:pPr>
              <w:spacing w:line="276"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领导作用和承诺</w:t>
            </w:r>
          </w:p>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总则</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5.1</w:t>
            </w:r>
          </w:p>
          <w:p>
            <w:pPr>
              <w:spacing w:line="276" w:lineRule="auto"/>
              <w:rPr>
                <w:rFonts w:asciiTheme="minorEastAsia" w:hAnsiTheme="minorEastAsia" w:eastAsiaTheme="minorEastAsia"/>
                <w:szCs w:val="21"/>
              </w:rPr>
            </w:pPr>
            <w:r>
              <w:rPr>
                <w:rFonts w:asciiTheme="minorEastAsia" w:hAnsiTheme="minorEastAsia" w:eastAsiaTheme="minorEastAsia"/>
                <w:szCs w:val="21"/>
              </w:rPr>
              <w:t>5.1.1</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公司编制了岗位职责与任职要求，明确了总经理的主要职责包括：</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负责贯彻国家有关的质量政策和法规，对公司产品质量负全责；</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确定本公司质量方针和质量目标，以增强顾客满意为目标，确保关注顾客要求；</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策划、建立和实施质量管理体系，并持续改进其有效性；</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明确各部门的职责和权限，确保得到内部沟通；</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确保建立、实施和改进质量管理体系有关的必要资源，创造使全体员工能够充分参与实现质量目标的工作环境；</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组织管理评审；</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负责批准质量手册等</w:t>
            </w:r>
          </w:p>
          <w:p>
            <w:pPr>
              <w:adjustRightInd w:val="0"/>
              <w:snapToGrid w:val="0"/>
              <w:spacing w:line="276" w:lineRule="auto"/>
              <w:rPr>
                <w:rFonts w:asciiTheme="minorEastAsia" w:hAnsiTheme="minorEastAsia" w:eastAsiaTheme="minorEastAsia"/>
                <w:szCs w:val="21"/>
              </w:rPr>
            </w:pP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组织确定的适用的法律法规包括《知识产权法》《合同法》《消费者权益保护法》GB/T15532-2008《计算机软件测试规范》GB/T20157-2006《信息技术 软件维护》GB/T20158-2006《信息技术 软件生存周期过程配置管理》 GB/T8567-2006《计算机软件文档编制规范》GB/T9385-2008《计算机软件需求规格说明规范》GB/T9386-2008《计算机软件测试文档编制规范》GB/T17544-1998《信息技术 软件包 质量要求和测试》GB/T11457-2006《信息处理 软件工程术语》GB 17859—1999《计算机信息系统安全保护等级划分准则》GB/T 20261-2006《信息技术 系统安全工程 能力成熟度模型》GB/T 20269-2006 《信息安全技术 信息系统安全管理要求》GB/T 20270-2006《信息安全技术 网络基础安全技术要求》</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GB/T 20271-2006《信息安全技术 信息系统通用安全技术要求》GB/T 20282-2006《信息安全技术 信息系统安全工程管理要求》等，法律法规已通过邮件的形式发放到相关部门，已得到有效执行，未出现违规情况。</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质量手册中写明了质量方针、目标，由总经理批准后实施。</w:t>
            </w:r>
          </w:p>
        </w:tc>
        <w:tc>
          <w:tcPr>
            <w:tcW w:w="1585" w:type="dxa"/>
          </w:tcPr>
          <w:p>
            <w:pPr>
              <w:spacing w:line="276"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以顾客为关注焦点</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5.1.2</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公司把关注焦点是放在顾客身上。公司通过投标、市场调研等方式了解顾客的需求，确定他们关心的产品特性，特别是产品的关键特性。通过定期对顾客满意度进行测量、售后服务了解顾客对产品的意见。</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在确定顾客的需求和期望时，公司同时考虑与产品有关的义务（如安全的责任、环境保护要求等）和法律法规要求，并采取措施，使其得到落实。</w:t>
            </w:r>
          </w:p>
        </w:tc>
        <w:tc>
          <w:tcPr>
            <w:tcW w:w="1585" w:type="dxa"/>
          </w:tcPr>
          <w:p>
            <w:pPr>
              <w:spacing w:line="276"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方针</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5.2.1</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质量方针：科学设计，诚信服务，确保顾客满意；以人为本，持续改进，促进公司发展。</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方针在质量手册中予以规定，经总经理批准实施。</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c>
          <w:tcPr>
            <w:tcW w:w="1585" w:type="dxa"/>
          </w:tcPr>
          <w:p>
            <w:pPr>
              <w:spacing w:line="276"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组织的角色职责和权限</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5.3</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公司编制了岗位职责和任职要求，经总经理批准后通过培训和发受控文件的形式使职责得到沟通。</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各部门的职责情况详见各部门5.3审核记录。</w:t>
            </w:r>
          </w:p>
        </w:tc>
        <w:tc>
          <w:tcPr>
            <w:tcW w:w="1585" w:type="dxa"/>
          </w:tcPr>
          <w:p>
            <w:pPr>
              <w:spacing w:line="276"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策划</w:t>
            </w:r>
          </w:p>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应对风险和机遇的措施</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6.1</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 xml:space="preserve">公司编制了《风险和机遇控制程序》，通过识别与评价对公司目标和战略方向相关影响其实现质量管理体系预期结果的各种内外部环境因素，有效应对风险和机遇。 </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管代介绍说公司面临的经营风险与机遇主要有：</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1、营销过程：市场营销合同内容不完整，签订合同的对方主体无签约资格或相应的资质，导致合同的效力存在瑕疵，可能造成合同不生效（措施：签订市场营销合同前要进一步审查对方主体是否具有签约资格和相应资质。如与对方签约，则需要审查其营业执照、主体资格，如不一致，则需要取得相应的授权委托书；避免与不具备主体资格的部门或人员签约。）</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2、资金风险：软件及人工成本不断提高，是对资金风险的考验，但不会是关键风险</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3、技术风险：公司拟招聘经验丰富的技术人员，并不断组织人员培训学习，加大服务及后期作业工作能力的提升，不断提高我企业的行业竞争能力，规避相关风险</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措施：</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1.针对政策风险，公司时刻关注政策的走向，在符合政策的同时对公司进行开展运作。</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2.资金风险，公司建立一定得预备资金，防止一时的资金断裂对公司运行造成重大影响。。。。。。</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 xml:space="preserve">针对质量风险与机遇，质量负责人组织人员对质量控制风险进行了识别、分析和评价。 </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通过内审、管评、目标考核等来评价风险和机遇应对措施的有效性。</w:t>
            </w:r>
          </w:p>
          <w:p>
            <w:pPr>
              <w:adjustRightInd w:val="0"/>
              <w:snapToGrid w:val="0"/>
              <w:spacing w:line="276" w:lineRule="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公司的风险和机遇控制基本符合要求。</w:t>
            </w:r>
            <w:r>
              <w:rPr>
                <w:rFonts w:hint="eastAsia" w:asciiTheme="minorEastAsia" w:hAnsiTheme="minorEastAsia" w:eastAsiaTheme="minorEastAsia"/>
                <w:szCs w:val="21"/>
                <w:lang w:val="en-US" w:eastAsia="zh-CN"/>
              </w:rPr>
              <w:t>基本无变更</w:t>
            </w:r>
          </w:p>
        </w:tc>
        <w:tc>
          <w:tcPr>
            <w:tcW w:w="1585" w:type="dxa"/>
          </w:tcPr>
          <w:p>
            <w:pPr>
              <w:spacing w:line="276"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质量目标及其实现的策划</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6.2</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总的质量目标为：</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产品开发合格率100%；（年度项目合格数/年度项目总数）</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技术服务质量合格率100%；（年度项目服务质量合格数/年度项目总数）</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顾客满意率≥95%。（3、满意度调查分数/总分数*100%）</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2019年</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月至2</w:t>
            </w:r>
            <w:r>
              <w:rPr>
                <w:rFonts w:hint="eastAsia" w:asciiTheme="minorEastAsia" w:hAnsiTheme="minorEastAsia" w:eastAsiaTheme="minorEastAsia"/>
                <w:szCs w:val="21"/>
                <w:lang w:val="en-US" w:eastAsia="zh-CN"/>
              </w:rPr>
              <w:t>020</w:t>
            </w:r>
            <w:r>
              <w:rPr>
                <w:rFonts w:hint="eastAsia" w:asciiTheme="minorEastAsia" w:hAnsiTheme="minorEastAsia" w:eastAsiaTheme="minorEastAsia"/>
                <w:szCs w:val="21"/>
              </w:rPr>
              <w:t>年7月目标完成情况：产品开发合格率100%，技术服务质量合格率100%；顾客满意率98%。公司的质量目标已分解到相关职能部门。</w:t>
            </w:r>
          </w:p>
        </w:tc>
        <w:tc>
          <w:tcPr>
            <w:tcW w:w="1585" w:type="dxa"/>
          </w:tcPr>
          <w:p>
            <w:pPr>
              <w:spacing w:line="276"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变更的策划</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6.3</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质量手册中对质量管理体系的变更需求及时机、内容、影响方面进行了策划，变更的时机包括了： 质量管理体系的建立和实施的初始阶段；组织机构、环境发生变化；利益相关方的需求和期望方面的任何变化等。</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对变更的影响方面进行了识别并制定了对策</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体系运行以来环境、利益相关方的需求和期望等未发生变更。公司组织机构变更，认证范围变更。对变更内容进行了策划。</w:t>
            </w:r>
          </w:p>
          <w:p>
            <w:pPr>
              <w:adjustRightInd w:val="0"/>
              <w:snapToGrid w:val="0"/>
              <w:spacing w:line="276" w:lineRule="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本年度对认证范围进行了修改，对手册、人员能力等方面进行了修改，按公司流程进行，符合要求。</w:t>
            </w:r>
          </w:p>
        </w:tc>
        <w:tc>
          <w:tcPr>
            <w:tcW w:w="1585" w:type="dxa"/>
          </w:tcPr>
          <w:p>
            <w:pPr>
              <w:spacing w:line="276"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资源总则</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7.1.1</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公司经营场所在公司办公楼内进行，部分项目在客户现场进行</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现主要工作人员10余人，均为大专以上学历。巡视项目开发现场，配备了电脑、打印机、传真、电话等办公设施、配备了无线网络。</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总经理对资源的配备比较重视，人力资源配备和工作环境等均可满足体系运行需要。</w:t>
            </w:r>
          </w:p>
        </w:tc>
        <w:tc>
          <w:tcPr>
            <w:tcW w:w="1585" w:type="dxa"/>
          </w:tcPr>
          <w:p>
            <w:pPr>
              <w:spacing w:line="276"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监测、</w:t>
            </w:r>
          </w:p>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分析与评价</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9.1.1</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公司通过质量目标考核、内审、管理评审等对体系的有效性进行评价。</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1.提供了顾客满意调查表，并进行了分析。</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2.质量目标完成情况进行了统计，均完成，符合要求.</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3.通过内审中发现的不符合，确定改进措施并实施。</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4.通过管理评审，提出改进措施，以便发现改进方向。</w:t>
            </w:r>
          </w:p>
        </w:tc>
        <w:tc>
          <w:tcPr>
            <w:tcW w:w="1585" w:type="dxa"/>
          </w:tcPr>
          <w:p>
            <w:pPr>
              <w:spacing w:line="276"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内审</w:t>
            </w:r>
          </w:p>
        </w:tc>
        <w:tc>
          <w:tcPr>
            <w:tcW w:w="960" w:type="dxa"/>
            <w:vAlign w:val="center"/>
          </w:tcPr>
          <w:p>
            <w:pPr>
              <w:spacing w:line="276" w:lineRule="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9.2</w:t>
            </w:r>
          </w:p>
        </w:tc>
        <w:tc>
          <w:tcPr>
            <w:tcW w:w="10004" w:type="dxa"/>
            <w:vAlign w:val="center"/>
          </w:tcPr>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提供《内部审核控制程序》，文件编制符合要求。</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公司对审核方案进行了有效策划，内容包括:目的、范围、审核频次、方法，策划内容齐全有效。</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内审时间：20</w:t>
            </w:r>
            <w:r>
              <w:rPr>
                <w:rFonts w:hint="eastAsia" w:asciiTheme="minorEastAsia" w:hAnsiTheme="minorEastAsia" w:eastAsiaTheme="minorEastAsia"/>
                <w:szCs w:val="21"/>
                <w:lang w:val="en-US" w:eastAsia="zh-CN"/>
              </w:rPr>
              <w:t>20</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月23日，依据策划的要求实施了审核。  内审员：韩瑜、王艳娇</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内审人员资格：以上人员均为内审员，并提供培训记录及内审员任命书，提供内审文件：</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“2019年内部审核计划”，包括审核的时间、依据、审核范围、审核组成员等内容；</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“内部日程安排（通知）”；“首末次会议签到表”和“内审检查表”；</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按照审核计划对各部门实施了审核，经查未发现本部门人员审核本部门的情况，审核公正。</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内部审核共发现1个不符合项，属于一般性质的不符合，对此制定了纠正措施，并记录了纠正措施的结果。</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提供“审核报告”，内容包括：审核目的、范围、依据、审核组成员、审核日期、审核过程、审核评价、内审结论：通过为期一天的内部质量审核,我们认为公司建立实施的质量管理体系既符合公司的管理运作要求,又能是否满足GB/T19001:2016质量管理体系标准的要求,所建立实施的质量管理体系要求能得到有效实施与保持,公司建立的质量管理体系适合公司的运作,有效的。</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对内审控制满足要求。</w:t>
            </w:r>
          </w:p>
        </w:tc>
        <w:tc>
          <w:tcPr>
            <w:tcW w:w="1585" w:type="dxa"/>
          </w:tcPr>
          <w:p>
            <w:pPr>
              <w:spacing w:line="276" w:lineRule="auto"/>
              <w:rPr>
                <w:rFonts w:hint="eastAsia" w:asciiTheme="minorEastAsia" w:hAnsiTheme="minorEastAsia" w:eastAsiaTheme="minorEastAsia"/>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管理评审</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9.3</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公司文件规定每年至少进行一次管理评审。总经理于20</w:t>
            </w:r>
            <w:r>
              <w:rPr>
                <w:rFonts w:hint="eastAsia" w:asciiTheme="minorEastAsia" w:hAnsiTheme="minorEastAsia" w:eastAsiaTheme="minorEastAsia"/>
                <w:szCs w:val="21"/>
                <w:lang w:val="en-US" w:eastAsia="zh-CN"/>
              </w:rPr>
              <w:t>20</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月11日组织进行了一次管理评审。</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查《管理评审计划》，写明了管理评审的目的：确定公司质量管理体系是否得到实施并具有充分性、有效性和适宜性，并对质量方针、质量目标的适宜性进行评审，寻找质量管理体系改进的机会。确定了评审时间、地点、评审组织和参加人员。规定了评审议题，提出了评审准备工作要求，评审以会议的方式进行。总经理批准。</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管理评审输入由管代和各部门收集并提供相关材料内容基本涵盖：以往管评措施实施情况、质量目标的实现程度、体系策划和运行情况、相关方的期望和要求、可能的变更、应对风险和机遇所采取措施的有效性、顾客满意情况、不合格及纠正措施完成情况、监视和测量结果、内审情况、外部供方的绩效以及改进的建议等</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提供《管理评审报告》，对评审情况进行了总结，各部门对各过程和活动进行了总结和讨论，对内审、客户投诉、方针和目标等方面</w:t>
            </w:r>
            <w:bookmarkStart w:id="0" w:name="_GoBack"/>
            <w:bookmarkEnd w:id="0"/>
            <w:r>
              <w:rPr>
                <w:rFonts w:hint="eastAsia" w:asciiTheme="minorEastAsia" w:hAnsiTheme="minorEastAsia" w:eastAsiaTheme="minorEastAsia"/>
                <w:szCs w:val="21"/>
              </w:rPr>
              <w:t>进行了评审。</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评审结论：1.</w:t>
            </w:r>
            <w:r>
              <w:rPr>
                <w:rFonts w:hint="eastAsia" w:asciiTheme="minorEastAsia" w:hAnsiTheme="minorEastAsia" w:eastAsiaTheme="minorEastAsia"/>
                <w:szCs w:val="21"/>
              </w:rPr>
              <w:tab/>
            </w:r>
            <w:r>
              <w:rPr>
                <w:rFonts w:hint="eastAsia" w:asciiTheme="minorEastAsia" w:hAnsiTheme="minorEastAsia" w:eastAsiaTheme="minorEastAsia"/>
                <w:szCs w:val="21"/>
              </w:rPr>
              <w:t>公司质量方针与公司宗旨相适宜，质量目标设定合理，质量管理体系实施、运行、保持符合要求，具备充分的适宜性、充分性、有效性。</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上次管理评审改进措施已按时完成。</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本年度未提出需改进的环节。</w:t>
            </w:r>
          </w:p>
        </w:tc>
        <w:tc>
          <w:tcPr>
            <w:tcW w:w="1585" w:type="dxa"/>
          </w:tcPr>
          <w:p>
            <w:pPr>
              <w:spacing w:line="276"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改进总则</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10.1</w:t>
            </w:r>
          </w:p>
          <w:p>
            <w:pPr>
              <w:spacing w:line="276" w:lineRule="auto"/>
              <w:rPr>
                <w:rFonts w:asciiTheme="minorEastAsia" w:hAnsiTheme="minorEastAsia" w:eastAsiaTheme="minorEastAsia"/>
                <w:szCs w:val="21"/>
              </w:rPr>
            </w:pPr>
            <w:r>
              <w:rPr>
                <w:rFonts w:asciiTheme="minorEastAsia" w:hAnsiTheme="minorEastAsia" w:eastAsiaTheme="minorEastAsia"/>
                <w:szCs w:val="21"/>
              </w:rPr>
              <w:t>10.3</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总经理：公司为不断改进体系、产品和服务创造氛围，使每个员工都有参与改进的意识和机会，通过使用质量方针、质量目标、审核结果、数据分析、纠正措施以及管理评审等提高QMS的有效性。</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管代：为了保证质量管理体系的符合性按照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c>
          <w:tcPr>
            <w:tcW w:w="1585" w:type="dxa"/>
          </w:tcPr>
          <w:p>
            <w:pPr>
              <w:spacing w:line="276"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p>
        </w:tc>
        <w:tc>
          <w:tcPr>
            <w:tcW w:w="960" w:type="dxa"/>
            <w:vAlign w:val="center"/>
          </w:tcPr>
          <w:p>
            <w:pPr>
              <w:spacing w:line="276" w:lineRule="auto"/>
              <w:rPr>
                <w:rFonts w:asciiTheme="minorEastAsia" w:hAnsiTheme="minorEastAsia" w:eastAsiaTheme="minorEastAsia"/>
                <w:szCs w:val="21"/>
              </w:rPr>
            </w:pPr>
          </w:p>
        </w:tc>
        <w:tc>
          <w:tcPr>
            <w:tcW w:w="10004" w:type="dxa"/>
            <w:vAlign w:val="center"/>
          </w:tcPr>
          <w:p>
            <w:pPr>
              <w:tabs>
                <w:tab w:val="left" w:pos="7380"/>
              </w:tabs>
              <w:spacing w:line="276" w:lineRule="auto"/>
              <w:rPr>
                <w:rFonts w:hint="eastAsia" w:ascii="宋体" w:hAnsi="宋体"/>
                <w:szCs w:val="21"/>
                <w:lang w:val="en-US" w:eastAsia="zh-CN"/>
              </w:rPr>
            </w:pPr>
            <w:r>
              <w:rPr>
                <w:rFonts w:hint="eastAsia" w:ascii="宋体" w:hAnsi="宋体"/>
                <w:szCs w:val="21"/>
              </w:rPr>
              <w:t>标准/规范/法规的执行情况</w:t>
            </w:r>
            <w:r>
              <w:rPr>
                <w:rFonts w:hint="eastAsia" w:ascii="宋体" w:hAnsi="宋体"/>
                <w:szCs w:val="21"/>
                <w:lang w:eastAsia="zh-CN"/>
              </w:rPr>
              <w:t>：</w:t>
            </w:r>
            <w:r>
              <w:rPr>
                <w:rFonts w:hint="eastAsia" w:ascii="宋体" w:hAnsi="宋体"/>
                <w:szCs w:val="21"/>
                <w:lang w:val="en-US" w:eastAsia="zh-CN"/>
              </w:rPr>
              <w:t>符合要求</w:t>
            </w:r>
          </w:p>
          <w:p>
            <w:pPr>
              <w:tabs>
                <w:tab w:val="left" w:pos="7380"/>
              </w:tabs>
              <w:spacing w:line="276" w:lineRule="auto"/>
              <w:rPr>
                <w:rFonts w:hint="eastAsia" w:ascii="宋体" w:hAnsi="宋体"/>
                <w:szCs w:val="21"/>
                <w:lang w:val="en-US" w:eastAsia="zh-CN"/>
              </w:rPr>
            </w:pPr>
            <w:r>
              <w:rPr>
                <w:rFonts w:hint="eastAsia" w:ascii="宋体" w:hAnsi="宋体"/>
                <w:szCs w:val="21"/>
              </w:rPr>
              <w:t>上次审核不符合项的验证</w:t>
            </w:r>
            <w:r>
              <w:rPr>
                <w:rFonts w:hint="eastAsia" w:ascii="宋体" w:hAnsi="宋体"/>
                <w:szCs w:val="21"/>
                <w:lang w:eastAsia="zh-CN"/>
              </w:rPr>
              <w:t>：上次外审不符合项1项，涉及条款</w:t>
            </w:r>
            <w:r>
              <w:rPr>
                <w:rFonts w:hint="eastAsia" w:ascii="宋体" w:hAnsi="宋体"/>
                <w:szCs w:val="21"/>
                <w:lang w:val="en-US" w:eastAsia="zh-CN"/>
              </w:rPr>
              <w:t>8.4，</w:t>
            </w:r>
            <w:r>
              <w:rPr>
                <w:rFonts w:hint="eastAsia" w:ascii="宋体" w:hAnsi="宋体"/>
                <w:szCs w:val="21"/>
                <w:lang w:eastAsia="zh-CN"/>
              </w:rPr>
              <w:t>已采取纠正措施并验证符合。</w:t>
            </w:r>
            <w:r>
              <w:rPr>
                <w:rFonts w:hint="eastAsia" w:ascii="宋体" w:hAnsi="宋体"/>
                <w:szCs w:val="21"/>
                <w:lang w:val="en-US" w:eastAsia="zh-CN"/>
              </w:rPr>
              <w:t>未发生类似不符合。</w:t>
            </w:r>
          </w:p>
          <w:p>
            <w:pPr>
              <w:tabs>
                <w:tab w:val="left" w:pos="7380"/>
              </w:tabs>
              <w:spacing w:line="276" w:lineRule="auto"/>
              <w:rPr>
                <w:rFonts w:hint="eastAsia" w:ascii="宋体" w:hAnsi="宋体"/>
                <w:szCs w:val="21"/>
                <w:lang w:eastAsia="zh-CN"/>
              </w:rPr>
            </w:pPr>
            <w:r>
              <w:rPr>
                <w:rFonts w:hint="eastAsia" w:ascii="宋体" w:hAnsi="宋体"/>
                <w:szCs w:val="21"/>
              </w:rPr>
              <w:t>认证证书、标志的使用情况</w:t>
            </w:r>
            <w:r>
              <w:rPr>
                <w:rFonts w:hint="eastAsia" w:ascii="宋体" w:hAnsi="宋体"/>
                <w:szCs w:val="21"/>
                <w:lang w:eastAsia="zh-CN"/>
              </w:rPr>
              <w:t>：</w:t>
            </w:r>
            <w:r>
              <w:rPr>
                <w:rFonts w:hint="eastAsia" w:ascii="宋体" w:hAnsi="宋体"/>
                <w:szCs w:val="21"/>
              </w:rPr>
              <w:t>主要用于投标，现场查看投标文件，宣传资料等，未发现违规使用证据</w:t>
            </w:r>
          </w:p>
          <w:p>
            <w:pPr>
              <w:tabs>
                <w:tab w:val="left" w:pos="7380"/>
              </w:tabs>
              <w:spacing w:line="276" w:lineRule="auto"/>
              <w:rPr>
                <w:rFonts w:hint="eastAsia" w:ascii="宋体" w:hAnsi="宋体"/>
                <w:szCs w:val="21"/>
                <w:lang w:val="en-US" w:eastAsia="zh-CN"/>
              </w:rPr>
            </w:pPr>
            <w:r>
              <w:rPr>
                <w:rFonts w:hint="eastAsia" w:ascii="宋体" w:hAnsi="宋体"/>
                <w:szCs w:val="21"/>
              </w:rPr>
              <w:t>投诉或事故</w:t>
            </w:r>
            <w:r>
              <w:rPr>
                <w:rFonts w:hint="eastAsia" w:ascii="宋体" w:hAnsi="宋体"/>
                <w:szCs w:val="21"/>
                <w:lang w:eastAsia="zh-CN"/>
              </w:rPr>
              <w:t>：</w:t>
            </w:r>
            <w:r>
              <w:rPr>
                <w:rFonts w:hint="eastAsia" w:ascii="宋体" w:hAnsi="宋体"/>
                <w:szCs w:val="21"/>
                <w:lang w:val="en-US" w:eastAsia="zh-CN"/>
              </w:rPr>
              <w:t>无</w:t>
            </w:r>
          </w:p>
          <w:p>
            <w:pPr>
              <w:tabs>
                <w:tab w:val="left" w:pos="7380"/>
              </w:tabs>
              <w:spacing w:line="276" w:lineRule="auto"/>
              <w:rPr>
                <w:rFonts w:hint="eastAsia" w:ascii="宋体" w:hAnsi="宋体"/>
                <w:szCs w:val="21"/>
                <w:lang w:val="en-US" w:eastAsia="zh-CN"/>
              </w:rPr>
            </w:pPr>
            <w:r>
              <w:rPr>
                <w:rFonts w:hint="eastAsia" w:ascii="宋体" w:hAnsi="宋体"/>
                <w:szCs w:val="21"/>
              </w:rPr>
              <w:t>监督抽查情况</w:t>
            </w:r>
            <w:r>
              <w:rPr>
                <w:rFonts w:hint="eastAsia" w:ascii="宋体" w:hAnsi="宋体"/>
                <w:szCs w:val="21"/>
                <w:lang w:eastAsia="zh-CN"/>
              </w:rPr>
              <w:t>：</w:t>
            </w:r>
            <w:r>
              <w:rPr>
                <w:rFonts w:hint="eastAsia" w:ascii="宋体" w:hAnsi="宋体"/>
                <w:szCs w:val="21"/>
                <w:lang w:val="en-US" w:eastAsia="zh-CN"/>
              </w:rPr>
              <w:t>无</w:t>
            </w:r>
          </w:p>
          <w:p>
            <w:pPr>
              <w:adjustRightInd w:val="0"/>
              <w:snapToGrid w:val="0"/>
              <w:spacing w:line="276" w:lineRule="auto"/>
              <w:rPr>
                <w:rFonts w:hint="default" w:asciiTheme="minorEastAsia" w:hAnsiTheme="minorEastAsia" w:eastAsiaTheme="minorEastAsia"/>
                <w:szCs w:val="21"/>
                <w:lang w:val="en-US"/>
              </w:rPr>
            </w:pPr>
            <w:r>
              <w:rPr>
                <w:rFonts w:hint="eastAsia" w:ascii="宋体" w:hAnsi="宋体"/>
                <w:szCs w:val="21"/>
              </w:rPr>
              <w:t>体系变动</w:t>
            </w:r>
            <w:r>
              <w:rPr>
                <w:rFonts w:hint="eastAsia" w:ascii="宋体" w:hAnsi="宋体"/>
                <w:szCs w:val="21"/>
                <w:lang w:eastAsia="zh-CN"/>
              </w:rPr>
              <w:t>：</w:t>
            </w:r>
            <w:r>
              <w:rPr>
                <w:rFonts w:hint="eastAsia" w:ascii="宋体" w:hAnsi="宋体"/>
                <w:szCs w:val="21"/>
                <w:lang w:val="en-US" w:eastAsia="zh-CN"/>
              </w:rPr>
              <w:t>范围变更为应用软件开发</w:t>
            </w:r>
          </w:p>
        </w:tc>
        <w:tc>
          <w:tcPr>
            <w:tcW w:w="1585" w:type="dxa"/>
          </w:tcPr>
          <w:p>
            <w:pPr>
              <w:spacing w:line="276" w:lineRule="auto"/>
              <w:rPr>
                <w:rFonts w:asciiTheme="minorEastAsia" w:hAnsiTheme="minorEastAsia" w:eastAsiaTheme="minorEastAsia"/>
                <w:szCs w:val="21"/>
              </w:rPr>
            </w:pPr>
          </w:p>
        </w:tc>
      </w:tr>
    </w:tbl>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过程与活动、</w:t>
            </w:r>
          </w:p>
          <w:p>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抽样计划</w:t>
            </w:r>
          </w:p>
        </w:tc>
        <w:tc>
          <w:tcPr>
            <w:tcW w:w="960" w:type="dxa"/>
            <w:vMerge w:val="restart"/>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涉及</w:t>
            </w:r>
          </w:p>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条款</w:t>
            </w:r>
          </w:p>
        </w:tc>
        <w:tc>
          <w:tcPr>
            <w:tcW w:w="10004"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受审核部门： 市场中心    主管领导/陪同人员：</w:t>
            </w:r>
            <w:r>
              <w:rPr>
                <w:rFonts w:asciiTheme="minorEastAsia" w:hAnsiTheme="minorEastAsia" w:eastAsiaTheme="minorEastAsia"/>
                <w:szCs w:val="21"/>
              </w:rPr>
              <w:t xml:space="preserve"> 韩瑜</w:t>
            </w:r>
          </w:p>
        </w:tc>
        <w:tc>
          <w:tcPr>
            <w:tcW w:w="1585" w:type="dxa"/>
            <w:vMerge w:val="restart"/>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276" w:lineRule="auto"/>
              <w:rPr>
                <w:rFonts w:asciiTheme="minorEastAsia" w:hAnsiTheme="minorEastAsia" w:eastAsiaTheme="minorEastAsia"/>
                <w:szCs w:val="21"/>
              </w:rPr>
            </w:pPr>
          </w:p>
        </w:tc>
        <w:tc>
          <w:tcPr>
            <w:tcW w:w="960" w:type="dxa"/>
            <w:vMerge w:val="continue"/>
            <w:vAlign w:val="center"/>
          </w:tcPr>
          <w:p>
            <w:pPr>
              <w:spacing w:line="276" w:lineRule="auto"/>
              <w:rPr>
                <w:rFonts w:asciiTheme="minorEastAsia" w:hAnsiTheme="minorEastAsia" w:eastAsiaTheme="minorEastAsia"/>
                <w:szCs w:val="21"/>
              </w:rPr>
            </w:pPr>
          </w:p>
        </w:tc>
        <w:tc>
          <w:tcPr>
            <w:tcW w:w="10004" w:type="dxa"/>
            <w:vAlign w:val="center"/>
          </w:tcPr>
          <w:p>
            <w:pPr>
              <w:spacing w:before="120" w:line="276" w:lineRule="auto"/>
              <w:rPr>
                <w:rFonts w:asciiTheme="minorEastAsia" w:hAnsiTheme="minorEastAsia" w:eastAsiaTheme="minorEastAsia"/>
                <w:szCs w:val="21"/>
              </w:rPr>
            </w:pPr>
            <w:r>
              <w:rPr>
                <w:rFonts w:hint="eastAsia" w:asciiTheme="minorEastAsia" w:hAnsiTheme="minorEastAsia" w:eastAsiaTheme="minorEastAsia"/>
                <w:szCs w:val="21"/>
              </w:rPr>
              <w:t>审核员：朱晓丽   审核时间：20</w:t>
            </w:r>
            <w:r>
              <w:rPr>
                <w:rFonts w:hint="eastAsia" w:asciiTheme="minorEastAsia" w:hAnsiTheme="minorEastAsia" w:eastAsiaTheme="minorEastAsia"/>
                <w:szCs w:val="21"/>
                <w:lang w:val="en-US" w:eastAsia="zh-CN"/>
              </w:rPr>
              <w:t>20</w:t>
            </w:r>
            <w:r>
              <w:rPr>
                <w:rFonts w:hint="eastAsia" w:asciiTheme="minorEastAsia" w:hAnsiTheme="minorEastAsia" w:eastAsiaTheme="minorEastAsia"/>
                <w:szCs w:val="21"/>
              </w:rPr>
              <w:t>年8月</w:t>
            </w:r>
            <w:r>
              <w:rPr>
                <w:rFonts w:hint="eastAsia" w:asciiTheme="minorEastAsia" w:hAnsiTheme="minorEastAsia" w:eastAsiaTheme="minorEastAsia"/>
                <w:szCs w:val="21"/>
                <w:lang w:val="en-US" w:eastAsia="zh-CN"/>
              </w:rPr>
              <w:t>19</w:t>
            </w:r>
            <w:r>
              <w:rPr>
                <w:rFonts w:hint="eastAsia" w:asciiTheme="minorEastAsia" w:hAnsiTheme="minorEastAsia" w:eastAsiaTheme="minorEastAsia"/>
                <w:szCs w:val="21"/>
              </w:rPr>
              <w:t>日</w:t>
            </w:r>
          </w:p>
        </w:tc>
        <w:tc>
          <w:tcPr>
            <w:tcW w:w="1585" w:type="dxa"/>
            <w:vMerge w:val="continue"/>
          </w:tcPr>
          <w:p>
            <w:pPr>
              <w:spacing w:line="276"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276" w:lineRule="auto"/>
              <w:rPr>
                <w:rFonts w:asciiTheme="minorEastAsia" w:hAnsiTheme="minorEastAsia" w:eastAsiaTheme="minorEastAsia"/>
                <w:szCs w:val="21"/>
              </w:rPr>
            </w:pPr>
          </w:p>
        </w:tc>
        <w:tc>
          <w:tcPr>
            <w:tcW w:w="960" w:type="dxa"/>
            <w:vMerge w:val="continue"/>
            <w:vAlign w:val="center"/>
          </w:tcPr>
          <w:p>
            <w:pPr>
              <w:spacing w:line="276" w:lineRule="auto"/>
              <w:rPr>
                <w:rFonts w:asciiTheme="minorEastAsia" w:hAnsiTheme="minorEastAsia" w:eastAsiaTheme="minorEastAsia"/>
                <w:szCs w:val="21"/>
              </w:rPr>
            </w:pP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审核条款：5.3，6.2，8.2 9.1.2</w:t>
            </w:r>
          </w:p>
        </w:tc>
        <w:tc>
          <w:tcPr>
            <w:tcW w:w="1585" w:type="dxa"/>
            <w:vMerge w:val="continue"/>
          </w:tcPr>
          <w:p>
            <w:pPr>
              <w:spacing w:line="276"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组织的岗位、职责和权限</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5.3</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部门主要职责如下：</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负责与客户有关的要求</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提供岗位职责与任职要求，对岗位职责和任职条件进行了描述。职责和权限与手册描述基本一致。</w:t>
            </w:r>
          </w:p>
        </w:tc>
        <w:tc>
          <w:tcPr>
            <w:tcW w:w="1585" w:type="dxa"/>
          </w:tcPr>
          <w:p>
            <w:pPr>
              <w:spacing w:line="276"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质量目标及其实现的策划</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6.2</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分解到该部门的质量目标及完成情况如下：</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1、顾客满意率95%以上（顾客满意度/总数*100%）</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2019年</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月至20</w:t>
            </w:r>
            <w:r>
              <w:rPr>
                <w:rFonts w:hint="eastAsia" w:asciiTheme="minorEastAsia" w:hAnsiTheme="minorEastAsia" w:eastAsiaTheme="minorEastAsia"/>
                <w:szCs w:val="21"/>
                <w:lang w:val="en-US" w:eastAsia="zh-CN"/>
              </w:rPr>
              <w:t>20</w:t>
            </w:r>
            <w:r>
              <w:rPr>
                <w:rFonts w:hint="eastAsia" w:asciiTheme="minorEastAsia" w:hAnsiTheme="minorEastAsia" w:eastAsiaTheme="minorEastAsia"/>
                <w:szCs w:val="21"/>
              </w:rPr>
              <w:t>年7月目标完成情况：均完成，符合要求。</w:t>
            </w:r>
          </w:p>
        </w:tc>
        <w:tc>
          <w:tcPr>
            <w:tcW w:w="1585" w:type="dxa"/>
          </w:tcPr>
          <w:p>
            <w:pPr>
              <w:spacing w:line="276"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与顾客有关的要求</w:t>
            </w:r>
          </w:p>
        </w:tc>
        <w:tc>
          <w:tcPr>
            <w:tcW w:w="9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8.2</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市场中心经常对顾客进行走访，了解顾客的意见。</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售前：走访用户、了解相关信息等，与顾客签订合同或订单；</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售中：组织供方按期交付，解决用户对进度、质量等关切问题；</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售后：与客户保持密切沟通，不定期回访用户，并对顾客反馈问题解答。体系建立实施至今未发生严重顾客投诉。</w:t>
            </w:r>
          </w:p>
          <w:p>
            <w:pPr>
              <w:adjustRightInd w:val="0"/>
              <w:snapToGrid w:val="0"/>
              <w:spacing w:line="276" w:lineRule="auto"/>
              <w:rPr>
                <w:rFonts w:asciiTheme="minorEastAsia" w:hAnsiTheme="minorEastAsia" w:eastAsiaTheme="minorEastAsia"/>
                <w:szCs w:val="21"/>
              </w:rPr>
            </w:pP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公司通过传真、邮件及电话等方式与顾客交流，主要进行以下沟通：</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1、向顾客提供保证产品质量的有关信息，保修及应急措施。</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2、接受顾客问询、询价、合同的处理。</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3、根据合同要求进行有关的事宜，对顾客的投诉或意见进行处理和答复。</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4、合理处理顾客财产，主要是顾客资料。</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目前沟通渠道畅通</w:t>
            </w:r>
          </w:p>
          <w:p>
            <w:pPr>
              <w:adjustRightInd w:val="0"/>
              <w:snapToGrid w:val="0"/>
              <w:spacing w:line="276" w:lineRule="auto"/>
              <w:rPr>
                <w:rFonts w:asciiTheme="minorEastAsia" w:hAnsiTheme="minorEastAsia" w:eastAsiaTheme="minorEastAsia"/>
                <w:szCs w:val="21"/>
              </w:rPr>
            </w:pP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通过合同确定软件开发要求</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抽查《合同》</w:t>
            </w:r>
          </w:p>
          <w:p>
            <w:pPr>
              <w:adjustRightInd w:val="0"/>
              <w:snapToGrid w:val="0"/>
              <w:spacing w:line="276" w:lineRule="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客户：</w:t>
            </w:r>
            <w:r>
              <w:rPr>
                <w:rFonts w:hint="eastAsia" w:asciiTheme="minorEastAsia" w:hAnsiTheme="minorEastAsia" w:eastAsiaTheme="minorEastAsia"/>
                <w:szCs w:val="21"/>
                <w:lang w:val="en-US" w:eastAsia="zh-CN"/>
              </w:rPr>
              <w:t>中星嘉华科技有限公司</w:t>
            </w:r>
          </w:p>
          <w:p>
            <w:pPr>
              <w:adjustRightInd w:val="0"/>
              <w:snapToGrid w:val="0"/>
              <w:spacing w:line="276" w:lineRule="auto"/>
              <w:rPr>
                <w:rFonts w:hint="default" w:asciiTheme="minorEastAsia" w:hAnsiTheme="minorEastAsia" w:eastAsiaTheme="minorEastAsia"/>
                <w:szCs w:val="21"/>
                <w:lang w:val="en-US"/>
              </w:rPr>
            </w:pPr>
            <w:r>
              <w:rPr>
                <w:rFonts w:hint="eastAsia" w:asciiTheme="minorEastAsia" w:hAnsiTheme="minorEastAsia" w:eastAsiaTheme="minorEastAsia"/>
                <w:szCs w:val="21"/>
              </w:rPr>
              <w:t>项目名称：</w:t>
            </w:r>
            <w:r>
              <w:rPr>
                <w:rFonts w:hint="eastAsia" w:asciiTheme="minorEastAsia" w:hAnsiTheme="minorEastAsia" w:eastAsiaTheme="minorEastAsia"/>
                <w:szCs w:val="21"/>
                <w:lang w:val="en-US" w:eastAsia="zh-CN"/>
              </w:rPr>
              <w:t>应用软件综合服务开发项目</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主要工作内容：</w:t>
            </w:r>
            <w:r>
              <w:rPr>
                <w:rFonts w:asciiTheme="minorEastAsia" w:hAnsiTheme="minorEastAsia" w:eastAsiaTheme="minorEastAsia"/>
                <w:szCs w:val="21"/>
              </w:rPr>
              <w:t xml:space="preserve"> </w:t>
            </w:r>
          </w:p>
          <w:p>
            <w:pPr>
              <w:adjustRightInd w:val="0"/>
              <w:snapToGrid w:val="0"/>
              <w:spacing w:line="276" w:lineRule="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签订时间：20</w:t>
            </w:r>
            <w:r>
              <w:rPr>
                <w:rFonts w:hint="eastAsia" w:asciiTheme="minorEastAsia" w:hAnsiTheme="minorEastAsia" w:eastAsiaTheme="minorEastAsia"/>
                <w:szCs w:val="21"/>
                <w:lang w:val="en-US" w:eastAsia="zh-CN"/>
              </w:rPr>
              <w:t>20年6月5日</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写明了系统验收、变更管理、知识产权条款、双方权利及义务、售后服务、违约责任等内容。</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有双方签字盖章，符合要求。</w:t>
            </w:r>
          </w:p>
          <w:p>
            <w:pPr>
              <w:adjustRightInd w:val="0"/>
              <w:snapToGrid w:val="0"/>
              <w:spacing w:line="276"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评审内容：交付时间、技术要求、人员配置等</w:t>
            </w:r>
          </w:p>
          <w:p>
            <w:pPr>
              <w:pStyle w:val="2"/>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评审结论：可以签订</w:t>
            </w:r>
          </w:p>
          <w:p>
            <w:pPr>
              <w:pStyle w:val="2"/>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批准人：黄训斌2020年6月3日</w:t>
            </w:r>
          </w:p>
          <w:p>
            <w:pPr>
              <w:pStyle w:val="2"/>
              <w:rPr>
                <w:rFonts w:hint="default" w:asciiTheme="minorEastAsia" w:hAnsiTheme="minorEastAsia" w:eastAsiaTheme="minorEastAsia"/>
                <w:szCs w:val="21"/>
                <w:lang w:val="en-US" w:eastAsia="zh-CN"/>
              </w:rPr>
            </w:pP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客户：</w:t>
            </w:r>
            <w:r>
              <w:rPr>
                <w:rFonts w:hint="eastAsia" w:asciiTheme="minorEastAsia" w:hAnsiTheme="minorEastAsia" w:eastAsiaTheme="minorEastAsia"/>
                <w:szCs w:val="21"/>
                <w:lang w:val="en-US" w:eastAsia="zh-CN"/>
              </w:rPr>
              <w:t>深圳市乐泡商业管理</w:t>
            </w:r>
            <w:r>
              <w:rPr>
                <w:rFonts w:hint="eastAsia" w:asciiTheme="minorEastAsia" w:hAnsiTheme="minorEastAsia" w:eastAsiaTheme="minorEastAsia"/>
                <w:szCs w:val="21"/>
              </w:rPr>
              <w:t>有限公司</w:t>
            </w:r>
          </w:p>
          <w:p>
            <w:pPr>
              <w:adjustRightInd w:val="0"/>
              <w:snapToGrid w:val="0"/>
              <w:spacing w:line="276" w:lineRule="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项目名称：</w:t>
            </w:r>
            <w:r>
              <w:rPr>
                <w:rFonts w:hint="eastAsia" w:asciiTheme="minorEastAsia" w:hAnsiTheme="minorEastAsia" w:eastAsiaTheme="minorEastAsia"/>
                <w:szCs w:val="21"/>
                <w:lang w:val="en-US" w:eastAsia="zh-CN"/>
              </w:rPr>
              <w:t>电商平台开发</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写明了</w:t>
            </w:r>
            <w:r>
              <w:rPr>
                <w:rFonts w:hint="eastAsia" w:asciiTheme="minorEastAsia" w:hAnsiTheme="minorEastAsia" w:eastAsiaTheme="minorEastAsia"/>
                <w:szCs w:val="21"/>
                <w:lang w:val="en-US" w:eastAsia="zh-CN"/>
              </w:rPr>
              <w:t>合同标的、开发进度及软件成果交付、开发费用、付款结算</w:t>
            </w:r>
            <w:r>
              <w:rPr>
                <w:rFonts w:hint="eastAsia" w:asciiTheme="minorEastAsia" w:hAnsiTheme="minorEastAsia" w:eastAsiaTheme="minorEastAsia"/>
                <w:szCs w:val="21"/>
              </w:rPr>
              <w:t>、双方权利及义务</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违约责任等内容。</w:t>
            </w:r>
          </w:p>
          <w:p>
            <w:pPr>
              <w:adjustRightInd w:val="0"/>
              <w:snapToGrid w:val="0"/>
              <w:spacing w:line="276"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签订时间：20</w:t>
            </w:r>
            <w:r>
              <w:rPr>
                <w:rFonts w:hint="eastAsia" w:asciiTheme="minorEastAsia" w:hAnsiTheme="minorEastAsia" w:eastAsiaTheme="minorEastAsia"/>
                <w:szCs w:val="21"/>
                <w:lang w:val="en-US" w:eastAsia="zh-CN"/>
              </w:rPr>
              <w:t>20</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9</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有双方签字盖章，符合要求。</w:t>
            </w:r>
          </w:p>
          <w:p>
            <w:pPr>
              <w:adjustRightInd w:val="0"/>
              <w:snapToGrid w:val="0"/>
              <w:spacing w:line="276"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评审内容：交付时间、技术要求、人员配置等</w:t>
            </w:r>
          </w:p>
          <w:p>
            <w:pPr>
              <w:pStyle w:val="2"/>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评审结论：可以签订</w:t>
            </w:r>
          </w:p>
          <w:p>
            <w:pPr>
              <w:pStyle w:val="2"/>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批准人：黄训斌2020年1月18日</w:t>
            </w:r>
          </w:p>
          <w:p>
            <w:pPr>
              <w:adjustRightInd w:val="0"/>
              <w:snapToGrid w:val="0"/>
              <w:spacing w:line="276" w:lineRule="auto"/>
              <w:rPr>
                <w:rFonts w:asciiTheme="minorEastAsia" w:hAnsiTheme="minorEastAsia" w:eastAsiaTheme="minorEastAsia"/>
                <w:szCs w:val="21"/>
              </w:rPr>
            </w:pP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另抽其他合同</w:t>
            </w:r>
            <w:r>
              <w:rPr>
                <w:rFonts w:hint="eastAsia" w:asciiTheme="minorEastAsia" w:hAnsiTheme="minorEastAsia" w:eastAsiaTheme="minorEastAsia"/>
                <w:szCs w:val="21"/>
                <w:lang w:val="en-US" w:eastAsia="zh-CN"/>
              </w:rPr>
              <w:t>及评审记录</w:t>
            </w:r>
            <w:r>
              <w:rPr>
                <w:rFonts w:hint="eastAsia" w:asciiTheme="minorEastAsia" w:hAnsiTheme="minorEastAsia" w:eastAsiaTheme="minorEastAsia"/>
                <w:szCs w:val="21"/>
              </w:rPr>
              <w:t>，均保存完好，符合要求。</w:t>
            </w:r>
          </w:p>
          <w:p>
            <w:pPr>
              <w:adjustRightInd w:val="0"/>
              <w:snapToGrid w:val="0"/>
              <w:spacing w:line="276" w:lineRule="auto"/>
              <w:rPr>
                <w:rFonts w:asciiTheme="minorEastAsia" w:hAnsiTheme="minorEastAsia" w:eastAsiaTheme="minorEastAsia"/>
                <w:szCs w:val="21"/>
              </w:rPr>
            </w:pP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目前无合同更改</w:t>
            </w:r>
          </w:p>
        </w:tc>
        <w:tc>
          <w:tcPr>
            <w:tcW w:w="1585" w:type="dxa"/>
          </w:tcPr>
          <w:p>
            <w:pPr>
              <w:spacing w:line="276"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外部提供的过程，产品和服务的控制</w:t>
            </w:r>
          </w:p>
        </w:tc>
        <w:tc>
          <w:tcPr>
            <w:tcW w:w="960" w:type="dxa"/>
            <w:vAlign w:val="center"/>
          </w:tcPr>
          <w:p>
            <w:pPr>
              <w:spacing w:line="276" w:lineRule="auto"/>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8.4</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制定了《采购管理控制程序》，内容符合标准要求。</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规定了对选择评价和重新评审供方的方法。通过调查供方的质量保证能力如：产品质量情况、价格情况、交货及时性、售后服务等方面进行评价。符合要求和企业实际情况。</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现场提供有《合格供方名单》神州、互拉等</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查对供方进行评价的相关证据，企业未能提供。</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企业不存在到供方处进行验证和顾客到供方处进行验证的情况。</w:t>
            </w:r>
          </w:p>
          <w:p>
            <w:pPr>
              <w:adjustRightInd w:val="0"/>
              <w:snapToGrid w:val="0"/>
              <w:spacing w:line="276" w:lineRule="auto"/>
              <w:rPr>
                <w:rFonts w:asciiTheme="minorEastAsia" w:hAnsiTheme="minorEastAsia" w:eastAsiaTheme="minorEastAsia"/>
                <w:szCs w:val="21"/>
              </w:rPr>
            </w:pP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负责人介绍，公司提供给外部供方的信息主要有：</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公司需外部供方提供产品的主体信息，如产品及其相关技术指标信息等。向供应商传达信息的方式主要是：电话、微信等，经沟通信息内容包括：采购产品名称、要求、数量、价格、到货日期等内容，采购前由总经理进行批准同意后，由行政部负责采购。</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经查行政部人员具备任职要求，能够胜任本职工作。</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基本符合要求。</w:t>
            </w:r>
          </w:p>
          <w:p>
            <w:pPr>
              <w:adjustRightInd w:val="0"/>
              <w:snapToGrid w:val="0"/>
              <w:spacing w:line="276" w:lineRule="auto"/>
              <w:rPr>
                <w:rFonts w:asciiTheme="minorEastAsia" w:hAnsiTheme="minorEastAsia" w:eastAsiaTheme="minorEastAsia"/>
                <w:szCs w:val="21"/>
              </w:rPr>
            </w:pP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办公用品采购检验主要为外观、数量等基本检验，行政部进行，符合要求即可，无检验记录。</w:t>
            </w:r>
          </w:p>
          <w:p>
            <w:pPr>
              <w:adjustRightInd w:val="0"/>
              <w:snapToGrid w:val="0"/>
              <w:spacing w:line="276" w:lineRule="auto"/>
              <w:rPr>
                <w:rFonts w:hint="eastAsia" w:cs="Times New Roman" w:asciiTheme="minorEastAsia" w:hAnsiTheme="minorEastAsia" w:eastAsiaTheme="minorEastAsia"/>
                <w:color w:val="FF0000"/>
                <w:kern w:val="2"/>
                <w:sz w:val="21"/>
                <w:szCs w:val="21"/>
                <w:lang w:val="en-US" w:eastAsia="zh-CN" w:bidi="ar-SA"/>
              </w:rPr>
            </w:pPr>
            <w:r>
              <w:rPr>
                <w:rFonts w:hint="eastAsia" w:asciiTheme="minorEastAsia" w:hAnsiTheme="minorEastAsia" w:eastAsiaTheme="minorEastAsia"/>
                <w:szCs w:val="21"/>
              </w:rPr>
              <w:t>其他服务检验如物流等，在服务过程中对供方进行检验。</w:t>
            </w:r>
          </w:p>
        </w:tc>
        <w:tc>
          <w:tcPr>
            <w:tcW w:w="1585" w:type="dxa"/>
          </w:tcPr>
          <w:p>
            <w:pPr>
              <w:spacing w:line="276"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顾客反馈及满意信息收集</w:t>
            </w:r>
          </w:p>
        </w:tc>
        <w:tc>
          <w:tcPr>
            <w:tcW w:w="9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9.1.2</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企业对顾客对产品是否满意的信息进行监视，并编制《满意情况调查表》。对调查表中各项目进行测算，公司于2019年</w:t>
            </w:r>
            <w:r>
              <w:rPr>
                <w:rFonts w:hint="eastAsia" w:asciiTheme="minorEastAsia" w:hAnsiTheme="minorEastAsia" w:eastAsiaTheme="minorEastAsia"/>
                <w:szCs w:val="21"/>
                <w:lang w:val="en-US" w:eastAsia="zh-CN"/>
              </w:rPr>
              <w:t>12月</w:t>
            </w:r>
            <w:r>
              <w:rPr>
                <w:rFonts w:hint="eastAsia" w:asciiTheme="minorEastAsia" w:hAnsiTheme="minorEastAsia" w:eastAsiaTheme="minorEastAsia"/>
                <w:szCs w:val="21"/>
              </w:rPr>
              <w:t>对主要客户进行了电话问卷调查，分别对项目及质量、价格、交期期、技术能力、售后服务、投诉处理等内容进行调查，客户均对相关内容进行了反馈，从统计数据中可以看出，顾客满意度平均分为98%，超过了质量目标要求，目标完成</w:t>
            </w:r>
          </w:p>
        </w:tc>
        <w:tc>
          <w:tcPr>
            <w:tcW w:w="1585" w:type="dxa"/>
          </w:tcPr>
          <w:p>
            <w:pPr>
              <w:spacing w:line="276" w:lineRule="auto"/>
              <w:rPr>
                <w:rFonts w:asciiTheme="minorEastAsia" w:hAnsiTheme="minorEastAsia" w:eastAsiaTheme="minorEastAsia"/>
                <w:szCs w:val="21"/>
              </w:rPr>
            </w:pPr>
          </w:p>
        </w:tc>
      </w:tr>
    </w:tbl>
    <w:p>
      <w:pPr>
        <w:pStyle w:val="5"/>
      </w:pPr>
    </w:p>
    <w:p>
      <w:pPr>
        <w:pStyle w:val="5"/>
      </w:pPr>
    </w:p>
    <w:p>
      <w:pPr>
        <w:pStyle w:val="5"/>
      </w:pPr>
    </w:p>
    <w:p>
      <w:pPr>
        <w:pStyle w:val="5"/>
      </w:pPr>
    </w:p>
    <w:p>
      <w:pPr>
        <w:pStyle w:val="5"/>
      </w:pPr>
    </w:p>
    <w:p>
      <w:pPr>
        <w:pStyle w:val="5"/>
      </w:pPr>
    </w:p>
    <w:p>
      <w:pPr>
        <w:pStyle w:val="5"/>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line="276" w:lineRule="auto"/>
              <w:jc w:val="center"/>
              <w:rPr>
                <w:rFonts w:ascii="宋体" w:hAnsi="宋体"/>
                <w:szCs w:val="21"/>
              </w:rPr>
            </w:pPr>
            <w:r>
              <w:rPr>
                <w:rFonts w:hint="eastAsia" w:ascii="宋体" w:hAnsi="宋体"/>
                <w:szCs w:val="21"/>
              </w:rPr>
              <w:t>过程与活动、</w:t>
            </w:r>
          </w:p>
          <w:p>
            <w:pPr>
              <w:spacing w:line="276" w:lineRule="auto"/>
              <w:jc w:val="center"/>
              <w:rPr>
                <w:rFonts w:ascii="宋体" w:hAnsi="宋体"/>
                <w:szCs w:val="21"/>
              </w:rPr>
            </w:pPr>
            <w:r>
              <w:rPr>
                <w:rFonts w:hint="eastAsia" w:ascii="宋体" w:hAnsi="宋体"/>
                <w:szCs w:val="21"/>
              </w:rPr>
              <w:t>抽样计划</w:t>
            </w:r>
          </w:p>
        </w:tc>
        <w:tc>
          <w:tcPr>
            <w:tcW w:w="960" w:type="dxa"/>
            <w:vMerge w:val="restart"/>
            <w:vAlign w:val="center"/>
          </w:tcPr>
          <w:p>
            <w:pPr>
              <w:spacing w:line="276" w:lineRule="auto"/>
              <w:rPr>
                <w:rFonts w:ascii="宋体" w:hAnsi="宋体"/>
                <w:szCs w:val="21"/>
              </w:rPr>
            </w:pPr>
            <w:r>
              <w:rPr>
                <w:rFonts w:hint="eastAsia" w:ascii="宋体" w:hAnsi="宋体"/>
                <w:szCs w:val="21"/>
              </w:rPr>
              <w:t>涉及</w:t>
            </w:r>
          </w:p>
          <w:p>
            <w:pPr>
              <w:spacing w:line="276" w:lineRule="auto"/>
              <w:rPr>
                <w:rFonts w:ascii="宋体" w:hAnsi="宋体"/>
                <w:szCs w:val="21"/>
              </w:rPr>
            </w:pPr>
            <w:r>
              <w:rPr>
                <w:rFonts w:hint="eastAsia" w:ascii="宋体" w:hAnsi="宋体"/>
                <w:szCs w:val="21"/>
              </w:rPr>
              <w:t>条款</w:t>
            </w:r>
          </w:p>
        </w:tc>
        <w:tc>
          <w:tcPr>
            <w:tcW w:w="10004" w:type="dxa"/>
            <w:vAlign w:val="center"/>
          </w:tcPr>
          <w:p>
            <w:pPr>
              <w:spacing w:line="276" w:lineRule="auto"/>
              <w:rPr>
                <w:rFonts w:ascii="宋体" w:hAnsi="宋体"/>
                <w:szCs w:val="21"/>
              </w:rPr>
            </w:pPr>
            <w:r>
              <w:rPr>
                <w:rFonts w:hint="eastAsia" w:ascii="宋体" w:hAnsi="宋体"/>
                <w:szCs w:val="21"/>
              </w:rPr>
              <w:t>受审核部门：技术部      主管领导/陪同人员：</w:t>
            </w:r>
            <w:r>
              <w:rPr>
                <w:rFonts w:ascii="宋体" w:hAnsi="宋体"/>
                <w:szCs w:val="21"/>
              </w:rPr>
              <w:t xml:space="preserve"> 韩瑜</w:t>
            </w:r>
          </w:p>
        </w:tc>
        <w:tc>
          <w:tcPr>
            <w:tcW w:w="1585" w:type="dxa"/>
            <w:vMerge w:val="restart"/>
            <w:vAlign w:val="center"/>
          </w:tcPr>
          <w:p>
            <w:pPr>
              <w:spacing w:line="276" w:lineRule="auto"/>
              <w:rPr>
                <w:rFonts w:ascii="宋体" w:hAnsi="宋体"/>
                <w:szCs w:val="21"/>
              </w:rPr>
            </w:pPr>
            <w:r>
              <w:rPr>
                <w:rFonts w:hint="eastAsia" w:ascii="宋体" w:hAnsi="宋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276" w:lineRule="auto"/>
              <w:rPr>
                <w:rFonts w:ascii="宋体" w:hAnsi="宋体"/>
                <w:szCs w:val="21"/>
              </w:rPr>
            </w:pPr>
          </w:p>
        </w:tc>
        <w:tc>
          <w:tcPr>
            <w:tcW w:w="960" w:type="dxa"/>
            <w:vMerge w:val="continue"/>
            <w:vAlign w:val="center"/>
          </w:tcPr>
          <w:p>
            <w:pPr>
              <w:spacing w:line="276" w:lineRule="auto"/>
              <w:rPr>
                <w:rFonts w:ascii="宋体" w:hAnsi="宋体"/>
                <w:szCs w:val="21"/>
              </w:rPr>
            </w:pPr>
          </w:p>
        </w:tc>
        <w:tc>
          <w:tcPr>
            <w:tcW w:w="10004" w:type="dxa"/>
            <w:vAlign w:val="center"/>
          </w:tcPr>
          <w:p>
            <w:pPr>
              <w:spacing w:before="120" w:line="276" w:lineRule="auto"/>
              <w:rPr>
                <w:rFonts w:ascii="宋体" w:hAnsi="宋体"/>
                <w:szCs w:val="21"/>
              </w:rPr>
            </w:pPr>
            <w:r>
              <w:rPr>
                <w:rFonts w:hint="eastAsia" w:ascii="宋体" w:hAnsi="宋体"/>
                <w:szCs w:val="21"/>
              </w:rPr>
              <w:t>审核员：朱晓丽   审核时间：20</w:t>
            </w:r>
            <w:r>
              <w:rPr>
                <w:rFonts w:hint="eastAsia" w:ascii="宋体" w:hAnsi="宋体"/>
                <w:szCs w:val="21"/>
                <w:lang w:val="en-US" w:eastAsia="zh-CN"/>
              </w:rPr>
              <w:t>20</w:t>
            </w:r>
            <w:r>
              <w:rPr>
                <w:rFonts w:hint="eastAsia" w:ascii="宋体" w:hAnsi="宋体"/>
                <w:szCs w:val="21"/>
              </w:rPr>
              <w:t>年8月</w:t>
            </w:r>
            <w:r>
              <w:rPr>
                <w:rFonts w:hint="eastAsia" w:ascii="宋体" w:hAnsi="宋体"/>
                <w:szCs w:val="21"/>
                <w:lang w:val="en-US" w:eastAsia="zh-CN"/>
              </w:rPr>
              <w:t>19</w:t>
            </w:r>
            <w:r>
              <w:rPr>
                <w:rFonts w:hint="eastAsia" w:ascii="宋体" w:hAnsi="宋体"/>
                <w:szCs w:val="21"/>
              </w:rPr>
              <w:t>日</w:t>
            </w:r>
          </w:p>
        </w:tc>
        <w:tc>
          <w:tcPr>
            <w:tcW w:w="1585" w:type="dxa"/>
            <w:vMerge w:val="continue"/>
          </w:tcPr>
          <w:p>
            <w:pPr>
              <w:spacing w:line="276"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276" w:lineRule="auto"/>
              <w:rPr>
                <w:rFonts w:ascii="宋体" w:hAnsi="宋体"/>
                <w:szCs w:val="21"/>
              </w:rPr>
            </w:pPr>
          </w:p>
        </w:tc>
        <w:tc>
          <w:tcPr>
            <w:tcW w:w="960" w:type="dxa"/>
            <w:vMerge w:val="continue"/>
            <w:vAlign w:val="center"/>
          </w:tcPr>
          <w:p>
            <w:pPr>
              <w:spacing w:line="276" w:lineRule="auto"/>
              <w:rPr>
                <w:rFonts w:ascii="宋体" w:hAnsi="宋体"/>
                <w:szCs w:val="21"/>
              </w:rPr>
            </w:pPr>
          </w:p>
        </w:tc>
        <w:tc>
          <w:tcPr>
            <w:tcW w:w="10004" w:type="dxa"/>
            <w:vAlign w:val="center"/>
          </w:tcPr>
          <w:p>
            <w:pPr>
              <w:adjustRightInd w:val="0"/>
              <w:snapToGrid w:val="0"/>
              <w:spacing w:line="276" w:lineRule="auto"/>
              <w:rPr>
                <w:rFonts w:ascii="宋体" w:hAnsi="宋体"/>
                <w:szCs w:val="21"/>
              </w:rPr>
            </w:pPr>
            <w:r>
              <w:rPr>
                <w:rFonts w:hint="eastAsia" w:ascii="宋体" w:hAnsi="宋体"/>
                <w:szCs w:val="21"/>
              </w:rPr>
              <w:t>审核条款：5.3，6.2，7.1.5  8.1  8.3 8.5  8.6  8.7 10.2</w:t>
            </w:r>
          </w:p>
        </w:tc>
        <w:tc>
          <w:tcPr>
            <w:tcW w:w="1585" w:type="dxa"/>
            <w:vMerge w:val="continue"/>
          </w:tcPr>
          <w:p>
            <w:pPr>
              <w:spacing w:line="276"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宋体" w:hAnsi="宋体"/>
                <w:szCs w:val="21"/>
              </w:rPr>
            </w:pPr>
            <w:r>
              <w:rPr>
                <w:rFonts w:hint="eastAsia" w:ascii="宋体" w:hAnsi="宋体"/>
                <w:szCs w:val="21"/>
              </w:rPr>
              <w:t>职责和权限</w:t>
            </w:r>
          </w:p>
        </w:tc>
        <w:tc>
          <w:tcPr>
            <w:tcW w:w="960" w:type="dxa"/>
            <w:vAlign w:val="center"/>
          </w:tcPr>
          <w:p>
            <w:pPr>
              <w:spacing w:line="276" w:lineRule="auto"/>
              <w:rPr>
                <w:rFonts w:ascii="宋体" w:hAnsi="宋体"/>
                <w:szCs w:val="21"/>
              </w:rPr>
            </w:pPr>
            <w:r>
              <w:rPr>
                <w:rFonts w:ascii="宋体" w:hAnsi="宋体"/>
                <w:szCs w:val="21"/>
              </w:rPr>
              <w:t>5.3</w:t>
            </w:r>
          </w:p>
        </w:tc>
        <w:tc>
          <w:tcPr>
            <w:tcW w:w="10004" w:type="dxa"/>
            <w:vAlign w:val="center"/>
          </w:tcPr>
          <w:p>
            <w:pPr>
              <w:adjustRightInd w:val="0"/>
              <w:snapToGrid w:val="0"/>
              <w:spacing w:line="276" w:lineRule="auto"/>
              <w:rPr>
                <w:rFonts w:ascii="宋体" w:hAnsi="宋体"/>
                <w:szCs w:val="21"/>
              </w:rPr>
            </w:pPr>
            <w:r>
              <w:rPr>
                <w:rFonts w:hint="eastAsia" w:ascii="宋体" w:hAnsi="宋体"/>
                <w:szCs w:val="21"/>
              </w:rPr>
              <w:t>部门主要职责如下：</w:t>
            </w:r>
          </w:p>
          <w:p>
            <w:pPr>
              <w:adjustRightInd w:val="0"/>
              <w:snapToGrid w:val="0"/>
              <w:spacing w:line="276" w:lineRule="auto"/>
              <w:rPr>
                <w:rFonts w:ascii="宋体" w:hAnsi="宋体"/>
                <w:szCs w:val="21"/>
              </w:rPr>
            </w:pPr>
            <w:r>
              <w:rPr>
                <w:rFonts w:hint="eastAsia" w:ascii="宋体" w:hAnsi="宋体"/>
                <w:szCs w:val="21"/>
              </w:rPr>
              <w:t>负责软件开发计划的制定和实施；</w:t>
            </w:r>
          </w:p>
          <w:p>
            <w:pPr>
              <w:adjustRightInd w:val="0"/>
              <w:snapToGrid w:val="0"/>
              <w:spacing w:line="276" w:lineRule="auto"/>
              <w:rPr>
                <w:rFonts w:ascii="宋体" w:hAnsi="宋体"/>
                <w:szCs w:val="21"/>
              </w:rPr>
            </w:pPr>
            <w:r>
              <w:rPr>
                <w:rFonts w:hint="eastAsia" w:ascii="宋体" w:hAnsi="宋体"/>
                <w:szCs w:val="21"/>
              </w:rPr>
              <w:t xml:space="preserve">负责对软件开发过程进行监视和测量。。。。。。。。 </w:t>
            </w:r>
          </w:p>
          <w:p>
            <w:pPr>
              <w:adjustRightInd w:val="0"/>
              <w:snapToGrid w:val="0"/>
              <w:spacing w:line="276" w:lineRule="auto"/>
              <w:rPr>
                <w:rFonts w:ascii="宋体" w:hAnsi="宋体"/>
                <w:szCs w:val="21"/>
              </w:rPr>
            </w:pPr>
            <w:r>
              <w:rPr>
                <w:rFonts w:hint="eastAsia" w:ascii="宋体" w:hAnsi="宋体"/>
                <w:szCs w:val="21"/>
              </w:rPr>
              <w:t>职责和权限与手册描述基本一致。部门负责人对自己的职责较清楚</w:t>
            </w:r>
          </w:p>
        </w:tc>
        <w:tc>
          <w:tcPr>
            <w:tcW w:w="1585" w:type="dxa"/>
          </w:tcPr>
          <w:p>
            <w:pPr>
              <w:spacing w:line="276"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宋体" w:hAnsi="宋体"/>
                <w:szCs w:val="21"/>
              </w:rPr>
            </w:pPr>
            <w:r>
              <w:rPr>
                <w:rFonts w:hint="eastAsia" w:ascii="宋体" w:hAnsi="宋体"/>
                <w:szCs w:val="21"/>
              </w:rPr>
              <w:t>质量目标及其实现的策划</w:t>
            </w:r>
          </w:p>
        </w:tc>
        <w:tc>
          <w:tcPr>
            <w:tcW w:w="960" w:type="dxa"/>
            <w:vAlign w:val="center"/>
          </w:tcPr>
          <w:p>
            <w:pPr>
              <w:spacing w:line="276" w:lineRule="auto"/>
              <w:rPr>
                <w:rFonts w:ascii="宋体" w:hAnsi="宋体"/>
                <w:szCs w:val="21"/>
              </w:rPr>
            </w:pPr>
            <w:r>
              <w:rPr>
                <w:rFonts w:ascii="宋体" w:hAnsi="宋体"/>
                <w:szCs w:val="21"/>
              </w:rPr>
              <w:t>6.2</w:t>
            </w:r>
          </w:p>
        </w:tc>
        <w:tc>
          <w:tcPr>
            <w:tcW w:w="10004" w:type="dxa"/>
            <w:vAlign w:val="center"/>
          </w:tcPr>
          <w:p>
            <w:pPr>
              <w:adjustRightInd w:val="0"/>
              <w:snapToGrid w:val="0"/>
              <w:spacing w:line="276" w:lineRule="auto"/>
              <w:rPr>
                <w:rFonts w:ascii="宋体" w:hAnsi="宋体"/>
                <w:szCs w:val="21"/>
              </w:rPr>
            </w:pPr>
            <w:r>
              <w:rPr>
                <w:rFonts w:hint="eastAsia" w:ascii="宋体" w:hAnsi="宋体"/>
                <w:szCs w:val="21"/>
              </w:rPr>
              <w:t xml:space="preserve">产品交付格率100% (软件交付合格数/总数*100%，每年考核一次)； </w:t>
            </w:r>
          </w:p>
          <w:p>
            <w:pPr>
              <w:adjustRightInd w:val="0"/>
              <w:snapToGrid w:val="0"/>
              <w:spacing w:line="276" w:lineRule="auto"/>
              <w:rPr>
                <w:rFonts w:ascii="宋体" w:hAnsi="宋体"/>
                <w:szCs w:val="21"/>
              </w:rPr>
            </w:pPr>
            <w:r>
              <w:rPr>
                <w:rFonts w:hint="eastAsia" w:ascii="宋体" w:hAnsi="宋体"/>
                <w:szCs w:val="21"/>
              </w:rPr>
              <w:t>软件交付及时率100%（交付及时数/项目总数*100%，每年考核一次）</w:t>
            </w:r>
          </w:p>
          <w:p>
            <w:pPr>
              <w:adjustRightInd w:val="0"/>
              <w:snapToGrid w:val="0"/>
              <w:spacing w:line="276" w:lineRule="auto"/>
              <w:rPr>
                <w:rFonts w:ascii="宋体" w:hAnsi="宋体"/>
                <w:szCs w:val="21"/>
              </w:rPr>
            </w:pPr>
            <w:r>
              <w:rPr>
                <w:rFonts w:hint="eastAsia" w:ascii="宋体" w:hAnsi="宋体"/>
                <w:szCs w:val="21"/>
              </w:rPr>
              <w:t>2019年</w:t>
            </w:r>
            <w:r>
              <w:rPr>
                <w:rFonts w:hint="eastAsia" w:ascii="宋体" w:hAnsi="宋体"/>
                <w:szCs w:val="21"/>
                <w:lang w:val="en-US" w:eastAsia="zh-CN"/>
              </w:rPr>
              <w:t>8</w:t>
            </w:r>
            <w:r>
              <w:rPr>
                <w:rFonts w:hint="eastAsia" w:ascii="宋体" w:hAnsi="宋体"/>
                <w:szCs w:val="21"/>
              </w:rPr>
              <w:t>月至20</w:t>
            </w:r>
            <w:r>
              <w:rPr>
                <w:rFonts w:hint="eastAsia" w:ascii="宋体" w:hAnsi="宋体"/>
                <w:szCs w:val="21"/>
                <w:lang w:val="en-US" w:eastAsia="zh-CN"/>
              </w:rPr>
              <w:t>20</w:t>
            </w:r>
            <w:r>
              <w:rPr>
                <w:rFonts w:hint="eastAsia" w:ascii="宋体" w:hAnsi="宋体"/>
                <w:szCs w:val="21"/>
              </w:rPr>
              <w:t>年7月目标完成情况：产品交付格率100%；软件交付及时率100%  。</w:t>
            </w:r>
          </w:p>
        </w:tc>
        <w:tc>
          <w:tcPr>
            <w:tcW w:w="1585" w:type="dxa"/>
          </w:tcPr>
          <w:p>
            <w:pPr>
              <w:spacing w:line="276"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宋体" w:hAnsi="宋体"/>
                <w:szCs w:val="21"/>
              </w:rPr>
            </w:pPr>
            <w:r>
              <w:rPr>
                <w:rFonts w:hint="eastAsia" w:ascii="宋体" w:hAnsi="宋体"/>
                <w:szCs w:val="21"/>
              </w:rPr>
              <w:t>监视测量资源</w:t>
            </w:r>
          </w:p>
        </w:tc>
        <w:tc>
          <w:tcPr>
            <w:tcW w:w="960" w:type="dxa"/>
            <w:vAlign w:val="center"/>
          </w:tcPr>
          <w:p>
            <w:pPr>
              <w:spacing w:line="276" w:lineRule="auto"/>
              <w:rPr>
                <w:rFonts w:ascii="宋体" w:hAnsi="宋体"/>
                <w:szCs w:val="21"/>
              </w:rPr>
            </w:pPr>
            <w:r>
              <w:rPr>
                <w:rFonts w:ascii="宋体" w:hAnsi="宋体"/>
                <w:szCs w:val="21"/>
              </w:rPr>
              <w:t>7.1.5</w:t>
            </w:r>
          </w:p>
        </w:tc>
        <w:tc>
          <w:tcPr>
            <w:tcW w:w="10004" w:type="dxa"/>
            <w:vAlign w:val="center"/>
          </w:tcPr>
          <w:p>
            <w:pPr>
              <w:adjustRightInd w:val="0"/>
              <w:snapToGrid w:val="0"/>
              <w:spacing w:line="276" w:lineRule="auto"/>
              <w:rPr>
                <w:rFonts w:ascii="宋体" w:hAnsi="宋体"/>
                <w:szCs w:val="21"/>
              </w:rPr>
            </w:pPr>
            <w:r>
              <w:rPr>
                <w:rFonts w:hint="eastAsia" w:ascii="宋体" w:hAnsi="宋体"/>
                <w:szCs w:val="21"/>
              </w:rPr>
              <w:t>开发过程中涉及的监视和测量工具主要是测试工具，可验证软件符合性。使用前对测试工具进行确认。</w:t>
            </w:r>
          </w:p>
          <w:p>
            <w:pPr>
              <w:adjustRightInd w:val="0"/>
              <w:snapToGrid w:val="0"/>
              <w:spacing w:line="276" w:lineRule="auto"/>
              <w:rPr>
                <w:rFonts w:ascii="宋体" w:hAnsi="宋体"/>
                <w:szCs w:val="21"/>
              </w:rPr>
            </w:pPr>
            <w:r>
              <w:rPr>
                <w:rFonts w:hint="eastAsia" w:ascii="宋体" w:hAnsi="宋体"/>
                <w:szCs w:val="21"/>
              </w:rPr>
              <w:t>查“禅道”：测试过程中测试人员编写测试用例，出现不符合测试人员对不符合进行记录，开发人员进行整改，经再次测试合格后放行。支持与功能需求和测试需求相关联。</w:t>
            </w:r>
          </w:p>
          <w:p>
            <w:pPr>
              <w:adjustRightInd w:val="0"/>
              <w:snapToGrid w:val="0"/>
              <w:spacing w:line="276" w:lineRule="auto"/>
              <w:rPr>
                <w:rFonts w:ascii="宋体" w:hAnsi="宋体"/>
                <w:szCs w:val="21"/>
              </w:rPr>
            </w:pPr>
            <w:r>
              <w:rPr>
                <w:rFonts w:hint="eastAsia" w:ascii="宋体" w:hAnsi="宋体"/>
                <w:szCs w:val="21"/>
              </w:rPr>
              <w:t>抽测试不符合情况记录，有不符合原因，测试人，解决方法等内容</w:t>
            </w:r>
          </w:p>
        </w:tc>
        <w:tc>
          <w:tcPr>
            <w:tcW w:w="1585" w:type="dxa"/>
          </w:tcPr>
          <w:p>
            <w:pPr>
              <w:spacing w:line="276"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宋体" w:hAnsi="宋体"/>
                <w:szCs w:val="21"/>
              </w:rPr>
            </w:pPr>
            <w:r>
              <w:rPr>
                <w:rFonts w:hint="eastAsia" w:ascii="宋体" w:hAnsi="宋体"/>
                <w:szCs w:val="21"/>
              </w:rPr>
              <w:t>运行策划和控制</w:t>
            </w:r>
          </w:p>
        </w:tc>
        <w:tc>
          <w:tcPr>
            <w:tcW w:w="960" w:type="dxa"/>
            <w:vAlign w:val="center"/>
          </w:tcPr>
          <w:p>
            <w:pPr>
              <w:spacing w:line="276" w:lineRule="auto"/>
              <w:rPr>
                <w:rFonts w:ascii="宋体" w:hAnsi="宋体"/>
                <w:szCs w:val="21"/>
              </w:rPr>
            </w:pPr>
            <w:r>
              <w:rPr>
                <w:rFonts w:hint="eastAsia" w:ascii="宋体" w:hAnsi="宋体"/>
                <w:szCs w:val="21"/>
              </w:rPr>
              <w:t>8.1</w:t>
            </w:r>
          </w:p>
        </w:tc>
        <w:tc>
          <w:tcPr>
            <w:tcW w:w="10004" w:type="dxa"/>
            <w:vAlign w:val="center"/>
          </w:tcPr>
          <w:p>
            <w:pPr>
              <w:adjustRightInd w:val="0"/>
              <w:snapToGrid w:val="0"/>
              <w:spacing w:line="276" w:lineRule="auto"/>
              <w:rPr>
                <w:rFonts w:ascii="宋体" w:hAnsi="宋体"/>
                <w:szCs w:val="21"/>
              </w:rPr>
            </w:pPr>
            <w:r>
              <w:rPr>
                <w:rFonts w:hint="eastAsia" w:ascii="宋体" w:hAnsi="宋体"/>
                <w:szCs w:val="21"/>
              </w:rPr>
              <w:t>公司针对软件开发服务的特点进行了如下策划：</w:t>
            </w:r>
          </w:p>
          <w:p>
            <w:pPr>
              <w:adjustRightInd w:val="0"/>
              <w:snapToGrid w:val="0"/>
              <w:spacing w:line="276" w:lineRule="auto"/>
              <w:rPr>
                <w:rFonts w:ascii="宋体" w:hAnsi="宋体"/>
                <w:szCs w:val="21"/>
              </w:rPr>
            </w:pPr>
            <w:r>
              <w:rPr>
                <w:rFonts w:hint="eastAsia" w:ascii="宋体" w:hAnsi="宋体"/>
                <w:szCs w:val="21"/>
              </w:rPr>
              <w:t>一、策划了服务流程：</w:t>
            </w:r>
          </w:p>
          <w:p>
            <w:pPr>
              <w:adjustRightInd w:val="0"/>
              <w:snapToGrid w:val="0"/>
              <w:spacing w:line="276" w:lineRule="auto"/>
              <w:rPr>
                <w:rFonts w:ascii="宋体" w:hAnsi="宋体"/>
                <w:szCs w:val="21"/>
              </w:rPr>
            </w:pPr>
            <w:r>
              <w:rPr>
                <w:rFonts w:hint="eastAsia" w:ascii="宋体" w:hAnsi="宋体"/>
                <w:szCs w:val="21"/>
              </w:rPr>
              <w:t>1、软件的开发流程：市场需求（或客户需求）→设计开发计划→需求确认→概要设计→详细设计→编码→单元测试→系统测试→交付→售后服务</w:t>
            </w:r>
          </w:p>
          <w:p>
            <w:pPr>
              <w:adjustRightInd w:val="0"/>
              <w:snapToGrid w:val="0"/>
              <w:spacing w:line="276" w:lineRule="auto"/>
              <w:rPr>
                <w:rFonts w:hint="eastAsia" w:ascii="宋体" w:hAnsi="宋体"/>
                <w:szCs w:val="21"/>
              </w:rPr>
            </w:pPr>
            <w:r>
              <w:rPr>
                <w:rFonts w:hint="eastAsia" w:ascii="宋体" w:hAnsi="宋体"/>
                <w:szCs w:val="21"/>
              </w:rPr>
              <w:t>无需确认过程：无</w:t>
            </w:r>
          </w:p>
          <w:p>
            <w:pPr>
              <w:pStyle w:val="2"/>
              <w:rPr>
                <w:rFonts w:hint="default" w:eastAsia="宋体"/>
                <w:lang w:val="en-US" w:eastAsia="zh-CN"/>
              </w:rPr>
            </w:pPr>
            <w:r>
              <w:rPr>
                <w:rFonts w:hint="eastAsia" w:ascii="宋体" w:hAnsi="宋体"/>
                <w:szCs w:val="21"/>
                <w:lang w:val="en-US" w:eastAsia="zh-CN"/>
              </w:rPr>
              <w:t>关键过程：编码</w:t>
            </w:r>
          </w:p>
          <w:p>
            <w:pPr>
              <w:adjustRightInd w:val="0"/>
              <w:snapToGrid w:val="0"/>
              <w:spacing w:line="276" w:lineRule="auto"/>
              <w:rPr>
                <w:rFonts w:ascii="宋体" w:hAnsi="宋体"/>
                <w:szCs w:val="21"/>
              </w:rPr>
            </w:pPr>
            <w:r>
              <w:rPr>
                <w:rFonts w:hint="eastAsia" w:ascii="宋体" w:hAnsi="宋体"/>
                <w:szCs w:val="21"/>
              </w:rPr>
              <w:t>二、确定了相应的质量目标：产品交付格率100%、软件交付及时率100%。</w:t>
            </w:r>
          </w:p>
          <w:p>
            <w:pPr>
              <w:adjustRightInd w:val="0"/>
              <w:snapToGrid w:val="0"/>
              <w:spacing w:line="276" w:lineRule="auto"/>
              <w:rPr>
                <w:rFonts w:ascii="宋体" w:hAnsi="宋体"/>
                <w:szCs w:val="21"/>
              </w:rPr>
            </w:pPr>
            <w:r>
              <w:rPr>
                <w:rFonts w:hint="eastAsia" w:ascii="宋体" w:hAnsi="宋体"/>
                <w:szCs w:val="21"/>
              </w:rPr>
              <w:t>目标基本合理、可测量、可达到。</w:t>
            </w:r>
          </w:p>
          <w:p>
            <w:pPr>
              <w:adjustRightInd w:val="0"/>
              <w:snapToGrid w:val="0"/>
              <w:spacing w:line="276" w:lineRule="auto"/>
              <w:rPr>
                <w:rFonts w:ascii="宋体" w:hAnsi="宋体"/>
                <w:szCs w:val="21"/>
              </w:rPr>
            </w:pPr>
            <w:r>
              <w:rPr>
                <w:rFonts w:hint="eastAsia" w:ascii="宋体" w:hAnsi="宋体"/>
                <w:szCs w:val="21"/>
              </w:rPr>
              <w:t xml:space="preserve">三、策划了相关文件：产品实现过程符合《中华人民共和国著作权法》《中华人民共和国合同法》《中华人民共和国消费者权益保护法》 GB/T15532-2008《计算机软件测试规范》GB/T20157-2006《信息技术 软件维护》GB/T20158-2006《信息技术 软件生存周期过程配置管理》 GB/T8567-2006《计算机软件文档编制规范》GB/T9385-2008《计算机软件需求规格说明规范》GB/T9386-2008《计算机软件测试文档编制规范》GB/T17544-1998《信息技术 软件包 质量要求和测试》GB/T11457-2006《信息处理 软件工程术语》GB 17859—1999《计算机信息系统安全保护等级划分准则》GB/T 20261-2006《信息技术 系统安全工程 能力成熟度模型》GB/T 20269-2006 《信息安全技术 信息系统安全管理要求》GB/T 20270-2006《信息安全技术 网络基础安全技术要求》等作业指导书和《设计开发计划书》等记录。 </w:t>
            </w:r>
          </w:p>
          <w:p>
            <w:pPr>
              <w:adjustRightInd w:val="0"/>
              <w:snapToGrid w:val="0"/>
              <w:spacing w:line="276" w:lineRule="auto"/>
              <w:rPr>
                <w:rFonts w:ascii="宋体" w:hAnsi="宋体"/>
                <w:szCs w:val="21"/>
              </w:rPr>
            </w:pPr>
            <w:r>
              <w:rPr>
                <w:rFonts w:hint="eastAsia" w:ascii="宋体" w:hAnsi="宋体"/>
                <w:szCs w:val="21"/>
              </w:rPr>
              <w:t xml:space="preserve">四、软件开发、技术服务项目通过测试和验收来对产品实现过程进行检测。项目实施过程中由目负责人组织进行测试/检查，项目完成后由客户进行验收，符合要求。 </w:t>
            </w:r>
          </w:p>
          <w:p>
            <w:pPr>
              <w:adjustRightInd w:val="0"/>
              <w:snapToGrid w:val="0"/>
              <w:spacing w:line="276" w:lineRule="auto"/>
              <w:rPr>
                <w:rFonts w:ascii="宋体" w:hAnsi="宋体"/>
                <w:szCs w:val="21"/>
              </w:rPr>
            </w:pPr>
            <w:r>
              <w:rPr>
                <w:rFonts w:hint="eastAsia" w:ascii="宋体" w:hAnsi="宋体"/>
                <w:szCs w:val="21"/>
              </w:rPr>
              <w:t>五、服务场所：软件测试在办公楼内进行，电脑台式机、打印机、传真机等设备设施，基本满足工作需要。资源基本满足。</w:t>
            </w:r>
          </w:p>
          <w:p>
            <w:pPr>
              <w:adjustRightInd w:val="0"/>
              <w:snapToGrid w:val="0"/>
              <w:spacing w:line="276" w:lineRule="auto"/>
              <w:rPr>
                <w:rFonts w:ascii="宋体" w:hAnsi="宋体"/>
                <w:szCs w:val="21"/>
              </w:rPr>
            </w:pPr>
            <w:r>
              <w:rPr>
                <w:rFonts w:hint="eastAsia" w:ascii="宋体" w:hAnsi="宋体"/>
                <w:szCs w:val="21"/>
              </w:rPr>
              <w:t>六、编制有“风险和机遇控制程序”，通过识别与评价对公司目标和战略方向相关，影响其实现质量管理体系预期结果的各种内外部环境因素，有效应对风险和机遇。</w:t>
            </w:r>
          </w:p>
          <w:p>
            <w:pPr>
              <w:adjustRightInd w:val="0"/>
              <w:snapToGrid w:val="0"/>
              <w:spacing w:line="276" w:lineRule="auto"/>
              <w:rPr>
                <w:rFonts w:ascii="宋体" w:hAnsi="宋体"/>
                <w:szCs w:val="21"/>
              </w:rPr>
            </w:pPr>
            <w:r>
              <w:rPr>
                <w:rFonts w:hint="eastAsia" w:ascii="宋体" w:hAnsi="宋体"/>
                <w:szCs w:val="21"/>
              </w:rPr>
              <w:t>七、暂无外包过程。</w:t>
            </w:r>
          </w:p>
          <w:p>
            <w:pPr>
              <w:adjustRightInd w:val="0"/>
              <w:snapToGrid w:val="0"/>
              <w:spacing w:line="276" w:lineRule="auto"/>
              <w:rPr>
                <w:rFonts w:ascii="宋体" w:hAnsi="宋体"/>
                <w:szCs w:val="21"/>
              </w:rPr>
            </w:pPr>
            <w:r>
              <w:rPr>
                <w:rFonts w:hint="eastAsia" w:ascii="宋体" w:hAnsi="宋体"/>
                <w:szCs w:val="21"/>
              </w:rPr>
              <w:t>策划适合组织体系运行需要，未发生更改，策划情况符合标准要求。</w:t>
            </w:r>
          </w:p>
        </w:tc>
        <w:tc>
          <w:tcPr>
            <w:tcW w:w="1585" w:type="dxa"/>
          </w:tcPr>
          <w:p>
            <w:pPr>
              <w:spacing w:line="276"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宋体" w:hAnsi="宋体"/>
                <w:szCs w:val="21"/>
              </w:rPr>
            </w:pPr>
            <w:r>
              <w:rPr>
                <w:rFonts w:hint="eastAsia" w:ascii="宋体" w:hAnsi="宋体"/>
                <w:szCs w:val="21"/>
              </w:rPr>
              <w:t>产品和服务的设计和开发</w:t>
            </w:r>
          </w:p>
          <w:p>
            <w:pPr>
              <w:spacing w:line="276" w:lineRule="auto"/>
              <w:rPr>
                <w:rFonts w:ascii="宋体" w:hAnsi="宋体"/>
                <w:szCs w:val="21"/>
              </w:rPr>
            </w:pPr>
          </w:p>
        </w:tc>
        <w:tc>
          <w:tcPr>
            <w:tcW w:w="960" w:type="dxa"/>
            <w:vAlign w:val="center"/>
          </w:tcPr>
          <w:p>
            <w:pPr>
              <w:spacing w:line="276" w:lineRule="auto"/>
              <w:rPr>
                <w:rFonts w:ascii="宋体" w:hAnsi="宋体"/>
                <w:szCs w:val="21"/>
              </w:rPr>
            </w:pPr>
            <w:r>
              <w:rPr>
                <w:rFonts w:hint="eastAsia" w:ascii="宋体" w:hAnsi="宋体"/>
                <w:szCs w:val="21"/>
              </w:rPr>
              <w:t>8.3</w:t>
            </w:r>
          </w:p>
          <w:p>
            <w:pPr>
              <w:spacing w:line="276" w:lineRule="auto"/>
              <w:rPr>
                <w:rFonts w:ascii="宋体" w:hAnsi="宋体"/>
                <w:szCs w:val="21"/>
              </w:rPr>
            </w:pPr>
            <w:r>
              <w:rPr>
                <w:rFonts w:hint="eastAsia" w:ascii="宋体" w:hAnsi="宋体"/>
                <w:szCs w:val="21"/>
              </w:rPr>
              <w:t>8.5.1</w:t>
            </w:r>
          </w:p>
        </w:tc>
        <w:tc>
          <w:tcPr>
            <w:tcW w:w="10004" w:type="dxa"/>
            <w:vAlign w:val="center"/>
          </w:tcPr>
          <w:p>
            <w:pPr>
              <w:adjustRightInd w:val="0"/>
              <w:snapToGrid w:val="0"/>
              <w:spacing w:line="276" w:lineRule="auto"/>
              <w:rPr>
                <w:rFonts w:ascii="宋体" w:hAnsi="宋体"/>
                <w:szCs w:val="21"/>
              </w:rPr>
            </w:pPr>
            <w:r>
              <w:rPr>
                <w:rFonts w:hint="eastAsia" w:ascii="宋体" w:hAnsi="宋体"/>
                <w:szCs w:val="21"/>
              </w:rPr>
              <w:t>公司按照手册《产品和服务的设计开发控制程序》《软件测试作业指导书》《软件检验作业指导书》《软件开发作业指导书》《软件项目管理制度》等进行控制。抽</w:t>
            </w:r>
            <w:r>
              <w:rPr>
                <w:rFonts w:hint="eastAsia"/>
                <w:szCs w:val="21"/>
              </w:rPr>
              <w:t>开发平台软件安全系统项目</w:t>
            </w:r>
            <w:r>
              <w:rPr>
                <w:rFonts w:hint="eastAsia" w:ascii="宋体" w:hAnsi="宋体"/>
                <w:szCs w:val="21"/>
              </w:rPr>
              <w:t>，均保存完好，符合要求。</w:t>
            </w:r>
          </w:p>
          <w:p>
            <w:pPr>
              <w:adjustRightInd w:val="0"/>
              <w:snapToGrid w:val="0"/>
              <w:spacing w:line="276" w:lineRule="auto"/>
              <w:rPr>
                <w:rFonts w:hint="default" w:ascii="宋体" w:hAnsi="宋体" w:eastAsia="宋体"/>
                <w:szCs w:val="21"/>
                <w:lang w:val="en-US" w:eastAsia="zh-CN"/>
              </w:rPr>
            </w:pPr>
            <w:r>
              <w:rPr>
                <w:rFonts w:hint="eastAsia" w:ascii="宋体" w:hAnsi="宋体"/>
                <w:szCs w:val="21"/>
              </w:rPr>
              <w:t>提供基于区块链的电子证据系统</w:t>
            </w:r>
            <w:r>
              <w:rPr>
                <w:rFonts w:hint="eastAsia" w:ascii="宋体" w:hAnsi="宋体"/>
                <w:szCs w:val="21"/>
                <w:lang w:val="en-US" w:eastAsia="zh-CN"/>
              </w:rPr>
              <w:t>开发资料</w:t>
            </w:r>
          </w:p>
          <w:p>
            <w:pPr>
              <w:adjustRightInd w:val="0"/>
              <w:snapToGrid w:val="0"/>
              <w:spacing w:line="276" w:lineRule="auto"/>
              <w:rPr>
                <w:rFonts w:ascii="宋体" w:hAnsi="宋体"/>
                <w:szCs w:val="21"/>
              </w:rPr>
            </w:pPr>
            <w:r>
              <w:rPr>
                <w:rFonts w:hint="eastAsia" w:ascii="宋体" w:hAnsi="宋体"/>
                <w:szCs w:val="21"/>
              </w:rPr>
              <w:t>起止日期：20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月至20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11</w:t>
            </w:r>
            <w:r>
              <w:rPr>
                <w:rFonts w:hint="eastAsia" w:ascii="宋体" w:hAnsi="宋体"/>
                <w:szCs w:val="21"/>
              </w:rPr>
              <w:t>月。</w:t>
            </w:r>
          </w:p>
          <w:p>
            <w:pPr>
              <w:adjustRightInd w:val="0"/>
              <w:snapToGrid w:val="0"/>
              <w:spacing w:line="276" w:lineRule="auto"/>
              <w:rPr>
                <w:rFonts w:ascii="宋体" w:hAnsi="宋体"/>
                <w:szCs w:val="21"/>
              </w:rPr>
            </w:pPr>
            <w:r>
              <w:rPr>
                <w:rFonts w:hint="eastAsia" w:ascii="宋体" w:hAnsi="宋体"/>
                <w:szCs w:val="21"/>
              </w:rPr>
              <w:t xml:space="preserve">阶段划分、项目成员和职责： </w:t>
            </w:r>
          </w:p>
          <w:p>
            <w:pPr>
              <w:adjustRightInd w:val="0"/>
              <w:snapToGrid w:val="0"/>
              <w:spacing w:line="276" w:lineRule="auto"/>
              <w:rPr>
                <w:rFonts w:ascii="宋体" w:hAnsi="宋体"/>
                <w:szCs w:val="21"/>
              </w:rPr>
            </w:pPr>
            <w:r>
              <w:rPr>
                <w:rFonts w:hint="eastAsia" w:ascii="宋体" w:hAnsi="宋体"/>
                <w:szCs w:val="21"/>
              </w:rPr>
              <w:t>立项（评审时间20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1</w:t>
            </w:r>
            <w:r>
              <w:rPr>
                <w:rFonts w:hint="eastAsia" w:ascii="宋体" w:hAnsi="宋体"/>
                <w:szCs w:val="21"/>
              </w:rPr>
              <w:t>）： 评审成果：制定了项目测试时间表、完成项目开题、召开项目启动会议</w:t>
            </w:r>
          </w:p>
          <w:p>
            <w:pPr>
              <w:adjustRightInd w:val="0"/>
              <w:snapToGrid w:val="0"/>
              <w:spacing w:line="276" w:lineRule="auto"/>
              <w:rPr>
                <w:rFonts w:ascii="宋体" w:hAnsi="宋体"/>
                <w:szCs w:val="21"/>
              </w:rPr>
            </w:pPr>
            <w:r>
              <w:rPr>
                <w:rFonts w:hint="eastAsia" w:ascii="宋体" w:hAnsi="宋体"/>
                <w:szCs w:val="21"/>
              </w:rPr>
              <w:t>需求设计（评审时间：20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1</w:t>
            </w:r>
            <w:r>
              <w:rPr>
                <w:rFonts w:hint="eastAsia" w:ascii="宋体" w:hAnsi="宋体"/>
                <w:szCs w:val="21"/>
              </w:rPr>
              <w:t>）完成需求分析、计划、评审；完成概要设计、设计评审</w:t>
            </w:r>
          </w:p>
          <w:p>
            <w:pPr>
              <w:adjustRightInd w:val="0"/>
              <w:snapToGrid w:val="0"/>
              <w:spacing w:line="276" w:lineRule="auto"/>
              <w:rPr>
                <w:rFonts w:ascii="宋体" w:hAnsi="宋体"/>
                <w:szCs w:val="21"/>
              </w:rPr>
            </w:pPr>
            <w:r>
              <w:rPr>
                <w:rFonts w:hint="eastAsia" w:ascii="宋体" w:hAnsi="宋体"/>
                <w:szCs w:val="21"/>
              </w:rPr>
              <w:t>开发、测试：20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2</w:t>
            </w:r>
            <w:r>
              <w:rPr>
                <w:rFonts w:hint="eastAsia" w:ascii="宋体" w:hAnsi="宋体"/>
                <w:szCs w:val="21"/>
              </w:rPr>
              <w:t>-20</w:t>
            </w:r>
            <w:r>
              <w:rPr>
                <w:rFonts w:hint="eastAsia" w:ascii="宋体" w:hAnsi="宋体"/>
                <w:szCs w:val="21"/>
                <w:lang w:val="en-US" w:eastAsia="zh-CN"/>
              </w:rPr>
              <w:t>20.</w:t>
            </w:r>
            <w:r>
              <w:rPr>
                <w:rFonts w:hint="eastAsia" w:ascii="宋体" w:hAnsi="宋体"/>
                <w:szCs w:val="21"/>
              </w:rPr>
              <w:t>8   完成开发、测试</w:t>
            </w:r>
          </w:p>
          <w:p>
            <w:pPr>
              <w:adjustRightInd w:val="0"/>
              <w:snapToGrid w:val="0"/>
              <w:spacing w:line="276" w:lineRule="auto"/>
              <w:rPr>
                <w:rFonts w:hint="default" w:ascii="宋体" w:hAnsi="宋体" w:eastAsia="宋体"/>
                <w:szCs w:val="21"/>
                <w:lang w:val="en-US" w:eastAsia="zh-CN"/>
              </w:rPr>
            </w:pPr>
            <w:r>
              <w:rPr>
                <w:rFonts w:hint="eastAsia" w:ascii="宋体" w:hAnsi="宋体"/>
                <w:szCs w:val="21"/>
                <w:lang w:val="en-US" w:eastAsia="zh-CN"/>
              </w:rPr>
              <w:t>试运行：2020.8-11月</w:t>
            </w:r>
          </w:p>
          <w:p>
            <w:pPr>
              <w:adjustRightInd w:val="0"/>
              <w:snapToGrid w:val="0"/>
              <w:spacing w:line="276" w:lineRule="auto"/>
              <w:rPr>
                <w:rFonts w:ascii="宋体" w:hAnsi="宋体"/>
                <w:szCs w:val="21"/>
              </w:rPr>
            </w:pPr>
            <w:r>
              <w:rPr>
                <w:rFonts w:hint="eastAsia" w:ascii="宋体" w:hAnsi="宋体"/>
                <w:szCs w:val="21"/>
              </w:rPr>
              <w:t>结项：20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11</w:t>
            </w:r>
            <w:r>
              <w:rPr>
                <w:rFonts w:hint="eastAsia" w:ascii="宋体" w:hAnsi="宋体"/>
                <w:szCs w:val="21"/>
              </w:rPr>
              <w:t>完成经营总结，文档归档</w:t>
            </w:r>
          </w:p>
          <w:p>
            <w:pPr>
              <w:adjustRightInd w:val="0"/>
              <w:snapToGrid w:val="0"/>
              <w:spacing w:line="276" w:lineRule="auto"/>
              <w:rPr>
                <w:rFonts w:ascii="宋体" w:hAnsi="宋体"/>
                <w:szCs w:val="21"/>
              </w:rPr>
            </w:pPr>
            <w:r>
              <w:rPr>
                <w:rFonts w:ascii="宋体" w:hAnsi="宋体"/>
                <w:szCs w:val="21"/>
              </w:rPr>
              <w:t>研发团队组织架构</w:t>
            </w:r>
            <w:r>
              <w:rPr>
                <w:rFonts w:hint="eastAsia" w:ascii="宋体" w:hAnsi="宋体"/>
                <w:szCs w:val="21"/>
              </w:rPr>
              <w:t>：</w:t>
            </w:r>
          </w:p>
          <w:p>
            <w:pPr>
              <w:adjustRightInd w:val="0"/>
              <w:snapToGrid w:val="0"/>
              <w:spacing w:line="276" w:lineRule="auto"/>
              <w:rPr>
                <w:rFonts w:ascii="宋体" w:hAnsi="宋体"/>
                <w:szCs w:val="21"/>
              </w:rPr>
            </w:pPr>
            <w:r>
              <w:rPr>
                <w:rFonts w:hint="eastAsia" w:ascii="宋体" w:hAnsi="宋体"/>
                <w:szCs w:val="21"/>
              </w:rPr>
              <w:t>项目经理：刘高   开发经理：黄训斌    开发工程师：吕军、冯留闯、赵千平、闫晓东</w:t>
            </w:r>
          </w:p>
          <w:p>
            <w:pPr>
              <w:adjustRightInd w:val="0"/>
              <w:snapToGrid w:val="0"/>
              <w:spacing w:line="276" w:lineRule="auto"/>
              <w:rPr>
                <w:rFonts w:ascii="宋体" w:hAnsi="宋体"/>
                <w:szCs w:val="21"/>
              </w:rPr>
            </w:pPr>
            <w:r>
              <w:rPr>
                <w:rFonts w:hint="eastAsia" w:ascii="宋体" w:hAnsi="宋体"/>
                <w:szCs w:val="21"/>
              </w:rPr>
              <w:t>测试经理：王婷婷    测试工程师：郑世宇    质量经理：李青</w:t>
            </w:r>
          </w:p>
          <w:p>
            <w:pPr>
              <w:adjustRightInd w:val="0"/>
              <w:snapToGrid w:val="0"/>
              <w:spacing w:line="276" w:lineRule="auto"/>
              <w:rPr>
                <w:rFonts w:ascii="宋体" w:hAnsi="宋体"/>
                <w:szCs w:val="21"/>
              </w:rPr>
            </w:pPr>
            <w:r>
              <w:rPr>
                <w:rFonts w:hint="eastAsia" w:ascii="宋体" w:hAnsi="宋体"/>
                <w:szCs w:val="21"/>
              </w:rPr>
              <w:t>人员能力满足要求。</w:t>
            </w:r>
          </w:p>
          <w:p>
            <w:pPr>
              <w:adjustRightInd w:val="0"/>
              <w:snapToGrid w:val="0"/>
              <w:spacing w:line="276" w:lineRule="auto"/>
              <w:rPr>
                <w:rFonts w:ascii="宋体" w:hAnsi="宋体"/>
                <w:szCs w:val="21"/>
              </w:rPr>
            </w:pPr>
            <w:r>
              <w:rPr>
                <w:rFonts w:hint="eastAsia" w:ascii="宋体" w:hAnsi="宋体"/>
                <w:szCs w:val="21"/>
              </w:rPr>
              <w:t>资源配置：在进行充分的文献查阅的基础上，进行方案设计，然后对设计的方案开会进行讨论，不断进行改进。在遇到问题开会进行讨论改进。经费由行政部按需要下发。</w:t>
            </w:r>
          </w:p>
          <w:p>
            <w:pPr>
              <w:adjustRightInd w:val="0"/>
              <w:snapToGrid w:val="0"/>
              <w:spacing w:line="276" w:lineRule="auto"/>
              <w:rPr>
                <w:rFonts w:hint="default" w:ascii="宋体" w:hAnsi="宋体" w:eastAsia="宋体"/>
                <w:szCs w:val="21"/>
                <w:lang w:val="en-US" w:eastAsia="zh-CN"/>
              </w:rPr>
            </w:pPr>
            <w:r>
              <w:rPr>
                <w:rFonts w:hint="eastAsia" w:ascii="宋体" w:hAnsi="宋体"/>
                <w:szCs w:val="21"/>
              </w:rPr>
              <w:t>编制：黄训斌    日期：20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1</w:t>
            </w:r>
            <w:r>
              <w:rPr>
                <w:rFonts w:hint="eastAsia" w:ascii="宋体" w:hAnsi="宋体"/>
                <w:szCs w:val="21"/>
              </w:rPr>
              <w:t>.</w:t>
            </w:r>
            <w:r>
              <w:rPr>
                <w:rFonts w:hint="eastAsia" w:ascii="宋体" w:hAnsi="宋体"/>
                <w:szCs w:val="21"/>
                <w:lang w:val="en-US" w:eastAsia="zh-CN"/>
              </w:rPr>
              <w:t>14</w:t>
            </w:r>
          </w:p>
          <w:p>
            <w:pPr>
              <w:adjustRightInd w:val="0"/>
              <w:snapToGrid w:val="0"/>
              <w:spacing w:line="276" w:lineRule="auto"/>
              <w:rPr>
                <w:rFonts w:ascii="宋体" w:hAnsi="宋体"/>
                <w:szCs w:val="21"/>
              </w:rPr>
            </w:pPr>
          </w:p>
          <w:p>
            <w:pPr>
              <w:adjustRightInd w:val="0"/>
              <w:snapToGrid w:val="0"/>
              <w:spacing w:line="276" w:lineRule="auto"/>
              <w:rPr>
                <w:rFonts w:hint="default" w:ascii="宋体" w:hAnsi="宋体"/>
                <w:szCs w:val="21"/>
                <w:lang w:val="en-US"/>
              </w:rPr>
            </w:pPr>
            <w:r>
              <w:rPr>
                <w:rFonts w:hint="eastAsia" w:ascii="宋体" w:hAnsi="宋体"/>
                <w:szCs w:val="21"/>
              </w:rPr>
              <w:t>评审情况：需求分析阶段评审/评审内容：业务规则提取、分析是否合理等/20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1</w:t>
            </w:r>
            <w:r>
              <w:rPr>
                <w:rFonts w:hint="eastAsia" w:ascii="宋体" w:hAnsi="宋体"/>
                <w:szCs w:val="21"/>
              </w:rPr>
              <w:t>.20。软件设计开发说明书制定是否合理/ 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1</w:t>
            </w:r>
            <w:r>
              <w:rPr>
                <w:rFonts w:hint="eastAsia" w:ascii="宋体" w:hAnsi="宋体"/>
                <w:szCs w:val="21"/>
              </w:rPr>
              <w:t>.</w:t>
            </w:r>
            <w:r>
              <w:rPr>
                <w:rFonts w:hint="eastAsia" w:ascii="宋体" w:hAnsi="宋体"/>
                <w:szCs w:val="21"/>
                <w:lang w:val="en-US" w:eastAsia="zh-CN"/>
              </w:rPr>
              <w:t>27</w:t>
            </w:r>
          </w:p>
          <w:p>
            <w:pPr>
              <w:adjustRightInd w:val="0"/>
              <w:snapToGrid w:val="0"/>
              <w:spacing w:line="276" w:lineRule="auto"/>
              <w:rPr>
                <w:rFonts w:ascii="宋体" w:hAnsi="宋体"/>
                <w:szCs w:val="21"/>
              </w:rPr>
            </w:pPr>
            <w:r>
              <w:rPr>
                <w:rFonts w:hint="eastAsia" w:ascii="宋体" w:hAnsi="宋体"/>
                <w:szCs w:val="21"/>
              </w:rPr>
              <w:t>确认计划：方案完成后交客户进行确认。</w:t>
            </w:r>
          </w:p>
          <w:p>
            <w:pPr>
              <w:adjustRightInd w:val="0"/>
              <w:snapToGrid w:val="0"/>
              <w:spacing w:line="276" w:lineRule="auto"/>
              <w:rPr>
                <w:rFonts w:ascii="宋体" w:hAnsi="宋体"/>
                <w:szCs w:val="21"/>
              </w:rPr>
            </w:pPr>
            <w:r>
              <w:rPr>
                <w:rFonts w:hint="eastAsia" w:ascii="宋体" w:hAnsi="宋体"/>
                <w:szCs w:val="21"/>
              </w:rPr>
              <w:t>验证/确认：通过运行测试进行验证，时机：系统设计完成后，负责人/项目经理；经公司组织人员进行软件功能点和使用效果运行测试，对软件进行确认。</w:t>
            </w:r>
          </w:p>
          <w:p>
            <w:pPr>
              <w:adjustRightInd w:val="0"/>
              <w:snapToGrid w:val="0"/>
              <w:spacing w:line="276" w:lineRule="auto"/>
              <w:rPr>
                <w:rFonts w:ascii="宋体" w:hAnsi="宋体"/>
                <w:szCs w:val="21"/>
              </w:rPr>
            </w:pPr>
            <w:r>
              <w:rPr>
                <w:rFonts w:ascii="宋体" w:hAnsi="宋体"/>
                <w:szCs w:val="21"/>
              </w:rPr>
              <w:t>..    ..    ..</w:t>
            </w:r>
          </w:p>
          <w:p>
            <w:pPr>
              <w:adjustRightInd w:val="0"/>
              <w:snapToGrid w:val="0"/>
              <w:spacing w:line="276" w:lineRule="auto"/>
              <w:rPr>
                <w:rFonts w:ascii="宋体" w:hAnsi="宋体"/>
                <w:szCs w:val="21"/>
              </w:rPr>
            </w:pPr>
            <w:r>
              <w:rPr>
                <w:rFonts w:hint="eastAsia" w:ascii="宋体" w:hAnsi="宋体"/>
                <w:szCs w:val="21"/>
              </w:rPr>
              <w:t>软件设计说明书较清晰，符合要求。</w:t>
            </w:r>
          </w:p>
          <w:p>
            <w:pPr>
              <w:adjustRightInd w:val="0"/>
              <w:snapToGrid w:val="0"/>
              <w:spacing w:line="276" w:lineRule="auto"/>
              <w:rPr>
                <w:rFonts w:hint="default" w:ascii="宋体" w:hAnsi="宋体" w:eastAsia="宋体"/>
                <w:szCs w:val="21"/>
                <w:lang w:val="en-US" w:eastAsia="zh-CN"/>
              </w:rPr>
            </w:pPr>
            <w:r>
              <w:rPr>
                <w:rFonts w:hint="eastAsia" w:ascii="宋体" w:hAnsi="宋体"/>
                <w:szCs w:val="21"/>
              </w:rPr>
              <w:t>制定人：技术部             审批：刘高        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1</w:t>
            </w:r>
            <w:r>
              <w:rPr>
                <w:rFonts w:hint="eastAsia" w:ascii="宋体" w:hAnsi="宋体"/>
                <w:szCs w:val="21"/>
              </w:rPr>
              <w:t>.</w:t>
            </w:r>
            <w:r>
              <w:rPr>
                <w:rFonts w:hint="eastAsia" w:ascii="宋体" w:hAnsi="宋体"/>
                <w:szCs w:val="21"/>
                <w:lang w:val="en-US" w:eastAsia="zh-CN"/>
              </w:rPr>
              <w:t>14</w:t>
            </w:r>
          </w:p>
          <w:p>
            <w:pPr>
              <w:adjustRightInd w:val="0"/>
              <w:snapToGrid w:val="0"/>
              <w:spacing w:line="276" w:lineRule="auto"/>
              <w:rPr>
                <w:rFonts w:ascii="宋体" w:hAnsi="宋体"/>
                <w:szCs w:val="21"/>
              </w:rPr>
            </w:pPr>
          </w:p>
          <w:p>
            <w:pPr>
              <w:adjustRightInd w:val="0"/>
              <w:snapToGrid w:val="0"/>
              <w:spacing w:line="276" w:lineRule="auto"/>
              <w:rPr>
                <w:rFonts w:ascii="宋体" w:hAnsi="宋体"/>
                <w:szCs w:val="21"/>
              </w:rPr>
            </w:pPr>
            <w:r>
              <w:rPr>
                <w:rFonts w:hint="eastAsia" w:ascii="宋体" w:hAnsi="宋体"/>
                <w:szCs w:val="21"/>
              </w:rPr>
              <w:t>查看项目的设计输入内容：</w:t>
            </w:r>
          </w:p>
          <w:p>
            <w:pPr>
              <w:numPr>
                <w:ilvl w:val="0"/>
                <w:numId w:val="1"/>
              </w:numPr>
              <w:adjustRightInd w:val="0"/>
              <w:snapToGrid w:val="0"/>
              <w:spacing w:line="276" w:lineRule="auto"/>
              <w:rPr>
                <w:rFonts w:hint="eastAsia" w:ascii="宋体" w:hAnsi="宋体"/>
                <w:szCs w:val="21"/>
              </w:rPr>
            </w:pPr>
            <w:r>
              <w:rPr>
                <w:rFonts w:hint="eastAsia" w:ascii="宋体" w:hAnsi="宋体"/>
                <w:szCs w:val="21"/>
              </w:rPr>
              <w:t>产品的功能和性能要求：</w:t>
            </w:r>
          </w:p>
          <w:p>
            <w:pPr>
              <w:numPr>
                <w:numId w:val="0"/>
              </w:numPr>
              <w:adjustRightInd w:val="0"/>
              <w:snapToGrid w:val="0"/>
              <w:spacing w:line="276" w:lineRule="auto"/>
              <w:rPr>
                <w:rFonts w:hint="eastAsia" w:ascii="宋体" w:hAnsi="宋体" w:eastAsia="宋体"/>
                <w:szCs w:val="21"/>
                <w:lang w:eastAsia="zh-CN"/>
              </w:rPr>
            </w:pPr>
            <w:r>
              <w:rPr>
                <w:rFonts w:hint="eastAsia" w:ascii="宋体" w:hAnsi="宋体"/>
                <w:szCs w:val="21"/>
              </w:rPr>
              <w:t>基于区块链</w:t>
            </w:r>
            <w:r>
              <w:rPr>
                <w:rFonts w:hint="eastAsia" w:ascii="宋体" w:hAnsi="宋体"/>
                <w:szCs w:val="21"/>
                <w:lang w:val="en-US" w:eastAsia="zh-CN"/>
              </w:rPr>
              <w:t>的</w:t>
            </w:r>
            <w:r>
              <w:rPr>
                <w:rFonts w:hint="eastAsia" w:ascii="宋体" w:hAnsi="宋体"/>
                <w:szCs w:val="21"/>
              </w:rPr>
              <w:t>电子证据保存系统，其特征在于，包括：客户端，用于对用户电子证据进行离线采集与处理、在线管理以及取证工作；服务端，用于对用户的认证、密钥分配与在线电子证据的管理，对用户口令进行加盐哈希衍生多个随机密钥用于口令认证与用户数据加密，并且根据服务类型，对用户证据进行潜信道编码构造证据交易，并上传到区块链网络上构建用户证据链，生成证据的存在性证明；根据用户地址对链上证据的托管与恢复，其中，所述潜信道编码为：将服务类型信息、用户地址、证据的最终摘要和证据链关系信息编码为区块链系统的标准交易脚本ScriptPbkey；审计端，用于使用区块链货币密钥生成审计密钥，对链上证据进行审计并在区块链上生成相应的审计交易，构造证据的审计证明，以维护审计结果的完整性、时效性及不可否认性，其中，用户证据链连接多个证据交易与审计交易，表示电子证据之间的联系和电子证据之间的审计关系，统一以面向用户地址的微量区块链货币输出作为标识，将松散的区块链货币交易转化为用户证据网络；以及网络终端，用于对链上用户证据的状态同步以及实时取证</w:t>
            </w:r>
            <w:r>
              <w:rPr>
                <w:rFonts w:hint="eastAsia" w:ascii="宋体" w:hAnsi="宋体"/>
                <w:szCs w:val="21"/>
                <w:lang w:eastAsia="zh-CN"/>
              </w:rPr>
              <w:t>。</w:t>
            </w:r>
          </w:p>
          <w:p>
            <w:pPr>
              <w:adjustRightInd w:val="0"/>
              <w:snapToGrid w:val="0"/>
              <w:spacing w:line="276" w:lineRule="auto"/>
              <w:rPr>
                <w:rFonts w:ascii="宋体" w:hAnsi="宋体"/>
                <w:szCs w:val="21"/>
              </w:rPr>
            </w:pPr>
            <w:r>
              <w:rPr>
                <w:rFonts w:hint="eastAsia" w:ascii="宋体" w:hAnsi="宋体"/>
                <w:szCs w:val="21"/>
              </w:rPr>
              <w:t>2、适用的法律、法规要求（国家强制性标准一定要满足）：</w:t>
            </w:r>
          </w:p>
          <w:p>
            <w:pPr>
              <w:adjustRightInd w:val="0"/>
              <w:snapToGrid w:val="0"/>
              <w:spacing w:line="276" w:lineRule="auto"/>
              <w:rPr>
                <w:rFonts w:ascii="宋体" w:hAnsi="宋体"/>
                <w:szCs w:val="21"/>
              </w:rPr>
            </w:pPr>
            <w:r>
              <w:rPr>
                <w:rFonts w:hint="eastAsia" w:ascii="宋体" w:hAnsi="宋体"/>
                <w:szCs w:val="21"/>
              </w:rPr>
              <w:t xml:space="preserve">    GB/T15532-2008《计算机软件测试规范》GB/T20157-2006《信息技术 软件维护》GB/T20158-2006《信息技术 软件生存周期过程配置管理》 GB/T8567-2006《计算机软件文档编制规范》GB/T9385-2008《计算机软件需求规格说明规范》GB/T9386-2008《计算机软件测试文档编制规范》GB/T17544-1998《信息技术 软件包 质量要求和测试》GB/T11457-2006《信息处理 软件工程术语》GB 17859—1999《计算机信息系统安全保护等级划分准则》GB/T 20261-2006《信息技术 系统安全工程 能力成熟度模型》GB/T 20269-2006 《信息安全技术 信息系统安全管理要求》GB/T 20270-2006《信息安全技术 网络基础安全技术要求》。</w:t>
            </w:r>
          </w:p>
          <w:p>
            <w:pPr>
              <w:adjustRightInd w:val="0"/>
              <w:snapToGrid w:val="0"/>
              <w:spacing w:line="276" w:lineRule="auto"/>
              <w:rPr>
                <w:rFonts w:ascii="宋体" w:hAnsi="宋体"/>
                <w:szCs w:val="21"/>
              </w:rPr>
            </w:pPr>
            <w:r>
              <w:rPr>
                <w:rFonts w:hint="eastAsia" w:ascii="宋体" w:hAnsi="宋体"/>
                <w:szCs w:val="21"/>
              </w:rPr>
              <w:t>2、</w:t>
            </w:r>
            <w:r>
              <w:rPr>
                <w:rFonts w:hint="eastAsia" w:ascii="宋体" w:hAnsi="宋体"/>
                <w:szCs w:val="21"/>
              </w:rPr>
              <w:tab/>
            </w:r>
            <w:r>
              <w:rPr>
                <w:rFonts w:hint="eastAsia" w:ascii="宋体" w:hAnsi="宋体"/>
                <w:szCs w:val="21"/>
              </w:rPr>
              <w:t>以前类似设计提供的适用信息；</w:t>
            </w:r>
          </w:p>
          <w:p>
            <w:pPr>
              <w:adjustRightInd w:val="0"/>
              <w:snapToGrid w:val="0"/>
              <w:spacing w:line="276" w:lineRule="auto"/>
              <w:rPr>
                <w:rFonts w:ascii="宋体" w:hAnsi="宋体"/>
                <w:szCs w:val="21"/>
              </w:rPr>
            </w:pPr>
            <w:r>
              <w:rPr>
                <w:rFonts w:hint="eastAsia" w:ascii="宋体" w:hAnsi="宋体"/>
                <w:szCs w:val="21"/>
              </w:rPr>
              <w:t>3、其它要求</w:t>
            </w:r>
          </w:p>
          <w:p>
            <w:pPr>
              <w:adjustRightInd w:val="0"/>
              <w:snapToGrid w:val="0"/>
              <w:spacing w:line="276" w:lineRule="auto"/>
              <w:rPr>
                <w:rFonts w:ascii="宋体" w:hAnsi="宋体"/>
                <w:szCs w:val="21"/>
              </w:rPr>
            </w:pPr>
            <w:r>
              <w:rPr>
                <w:rFonts w:ascii="宋体" w:hAnsi="宋体"/>
                <w:szCs w:val="21"/>
              </w:rPr>
              <w:t xml:space="preserve">  </w:t>
            </w:r>
          </w:p>
          <w:p>
            <w:pPr>
              <w:adjustRightInd w:val="0"/>
              <w:snapToGrid w:val="0"/>
              <w:spacing w:line="276" w:lineRule="auto"/>
              <w:rPr>
                <w:rFonts w:hint="eastAsia" w:ascii="宋体" w:hAnsi="宋体"/>
                <w:szCs w:val="21"/>
              </w:rPr>
            </w:pPr>
            <w:r>
              <w:rPr>
                <w:rFonts w:hint="eastAsia" w:ascii="宋体" w:hAnsi="宋体"/>
                <w:szCs w:val="21"/>
              </w:rPr>
              <w:t>企业负责人介绍说，经常会因项目进行项目组评审会议，在会议上对项目问题进行讨论，大家讨论出项目方案或改进、项目进度等直接会议上进行任务分配，相关人员按要求执行。</w:t>
            </w:r>
          </w:p>
          <w:p>
            <w:pPr>
              <w:pStyle w:val="2"/>
            </w:pPr>
          </w:p>
          <w:p>
            <w:pPr>
              <w:adjustRightInd w:val="0"/>
              <w:snapToGrid w:val="0"/>
              <w:spacing w:line="276" w:lineRule="auto"/>
              <w:rPr>
                <w:rFonts w:ascii="宋体" w:hAnsi="宋体"/>
                <w:szCs w:val="21"/>
              </w:rPr>
            </w:pPr>
            <w:r>
              <w:rPr>
                <w:rFonts w:hint="eastAsia" w:ascii="宋体" w:hAnsi="宋体"/>
                <w:szCs w:val="21"/>
              </w:rPr>
              <w:t>项目名称：基于区块链的电子证据系统</w:t>
            </w:r>
          </w:p>
          <w:p>
            <w:pPr>
              <w:adjustRightInd w:val="0"/>
              <w:snapToGrid w:val="0"/>
              <w:spacing w:line="276" w:lineRule="auto"/>
              <w:rPr>
                <w:rFonts w:ascii="宋体" w:hAnsi="宋体"/>
                <w:szCs w:val="21"/>
              </w:rPr>
            </w:pPr>
            <w:r>
              <w:rPr>
                <w:rFonts w:hint="eastAsia" w:ascii="宋体" w:hAnsi="宋体"/>
                <w:szCs w:val="21"/>
              </w:rPr>
              <w:t>输出内容：系统设计说明书、详细设计说明、功能规范、配置管理、测试报告、验收报告等。</w:t>
            </w:r>
          </w:p>
          <w:p>
            <w:pPr>
              <w:adjustRightInd w:val="0"/>
              <w:snapToGrid w:val="0"/>
              <w:spacing w:line="276" w:lineRule="auto"/>
              <w:rPr>
                <w:rFonts w:ascii="宋体" w:hAnsi="宋体"/>
                <w:szCs w:val="21"/>
              </w:rPr>
            </w:pPr>
            <w:r>
              <w:rPr>
                <w:rFonts w:hint="eastAsia" w:ascii="宋体" w:hAnsi="宋体"/>
                <w:szCs w:val="21"/>
              </w:rPr>
              <w:t>2、各种验收准则：检验规程</w:t>
            </w:r>
          </w:p>
          <w:p>
            <w:pPr>
              <w:adjustRightInd w:val="0"/>
              <w:snapToGrid w:val="0"/>
              <w:spacing w:line="276" w:lineRule="auto"/>
              <w:rPr>
                <w:rFonts w:ascii="宋体" w:hAnsi="宋体"/>
                <w:szCs w:val="21"/>
              </w:rPr>
            </w:pPr>
            <w:r>
              <w:rPr>
                <w:rFonts w:hint="eastAsia" w:ascii="宋体" w:hAnsi="宋体"/>
                <w:szCs w:val="21"/>
              </w:rPr>
              <w:t>3、对产品质量控制的特殊要求： 无</w:t>
            </w:r>
          </w:p>
          <w:p>
            <w:pPr>
              <w:adjustRightInd w:val="0"/>
              <w:snapToGrid w:val="0"/>
              <w:spacing w:line="276" w:lineRule="auto"/>
              <w:rPr>
                <w:rFonts w:ascii="宋体" w:hAnsi="宋体"/>
                <w:szCs w:val="21"/>
              </w:rPr>
            </w:pPr>
            <w:r>
              <w:rPr>
                <w:rFonts w:hint="eastAsia" w:ascii="宋体" w:hAnsi="宋体"/>
                <w:szCs w:val="21"/>
              </w:rPr>
              <w:t>产品技术规范：中华人民共和国国家标准 计算机信息系统安全保护等级划分准则，计算机可靠性和可维护性，计算机软件测试文档编制规范，软件可靠性和安全性设计准则等。</w:t>
            </w:r>
          </w:p>
          <w:p>
            <w:pPr>
              <w:adjustRightInd w:val="0"/>
              <w:snapToGrid w:val="0"/>
              <w:spacing w:line="276" w:lineRule="auto"/>
              <w:rPr>
                <w:rFonts w:ascii="宋体" w:hAnsi="宋体"/>
                <w:szCs w:val="21"/>
              </w:rPr>
            </w:pPr>
            <w:r>
              <w:rPr>
                <w:rFonts w:hint="eastAsia" w:ascii="宋体" w:hAnsi="宋体"/>
                <w:szCs w:val="21"/>
              </w:rPr>
              <w:t xml:space="preserve">项目组对1、标准符合性    2、采购可行性 3、可检验性      4、结构合理性  5、美观性    6、环境影响        7、安全性   </w:t>
            </w:r>
          </w:p>
          <w:p>
            <w:pPr>
              <w:adjustRightInd w:val="0"/>
              <w:snapToGrid w:val="0"/>
              <w:spacing w:line="276" w:lineRule="auto"/>
              <w:rPr>
                <w:rFonts w:ascii="宋体" w:hAnsi="宋体"/>
                <w:szCs w:val="21"/>
              </w:rPr>
            </w:pPr>
            <w:r>
              <w:rPr>
                <w:rFonts w:hint="eastAsia" w:ascii="宋体" w:hAnsi="宋体"/>
                <w:szCs w:val="21"/>
              </w:rPr>
              <w:t>评审结论：符合要求        存在问题：无</w:t>
            </w:r>
          </w:p>
          <w:p>
            <w:pPr>
              <w:adjustRightInd w:val="0"/>
              <w:snapToGrid w:val="0"/>
              <w:spacing w:line="276" w:lineRule="auto"/>
              <w:rPr>
                <w:rFonts w:ascii="宋体" w:hAnsi="宋体"/>
                <w:szCs w:val="21"/>
              </w:rPr>
            </w:pPr>
            <w:r>
              <w:rPr>
                <w:rFonts w:hint="eastAsia" w:ascii="宋体" w:hAnsi="宋体"/>
                <w:szCs w:val="21"/>
              </w:rPr>
              <w:t>编制：技术部            日期：20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8</w:t>
            </w:r>
            <w:r>
              <w:rPr>
                <w:rFonts w:hint="eastAsia" w:ascii="宋体" w:hAnsi="宋体"/>
                <w:szCs w:val="21"/>
              </w:rPr>
              <w:t>.10</w:t>
            </w:r>
          </w:p>
          <w:p>
            <w:pPr>
              <w:adjustRightInd w:val="0"/>
              <w:snapToGrid w:val="0"/>
              <w:spacing w:line="276" w:lineRule="auto"/>
              <w:rPr>
                <w:rFonts w:ascii="宋体" w:hAnsi="宋体"/>
                <w:szCs w:val="21"/>
              </w:rPr>
            </w:pPr>
          </w:p>
          <w:p>
            <w:pPr>
              <w:adjustRightInd w:val="0"/>
              <w:snapToGrid w:val="0"/>
              <w:spacing w:line="276" w:lineRule="auto"/>
              <w:rPr>
                <w:rFonts w:ascii="宋体" w:hAnsi="宋体"/>
                <w:szCs w:val="21"/>
              </w:rPr>
            </w:pPr>
            <w:r>
              <w:rPr>
                <w:rFonts w:hint="eastAsia" w:ascii="宋体" w:hAnsi="宋体"/>
                <w:szCs w:val="21"/>
              </w:rPr>
              <w:t>查“</w:t>
            </w:r>
            <w:r>
              <w:rPr>
                <w:rFonts w:hint="eastAsia" w:ascii="宋体" w:hAnsi="宋体"/>
                <w:szCs w:val="21"/>
                <w:lang w:val="en-US" w:eastAsia="zh-CN"/>
              </w:rPr>
              <w:t>设计</w:t>
            </w:r>
            <w:r>
              <w:rPr>
                <w:rFonts w:hint="eastAsia" w:ascii="宋体" w:hAnsi="宋体"/>
                <w:szCs w:val="21"/>
              </w:rPr>
              <w:t>说明书”</w:t>
            </w:r>
          </w:p>
          <w:p>
            <w:pPr>
              <w:adjustRightInd w:val="0"/>
              <w:snapToGrid w:val="0"/>
              <w:spacing w:line="276" w:lineRule="auto"/>
              <w:rPr>
                <w:rFonts w:ascii="宋体" w:hAnsi="宋体"/>
                <w:szCs w:val="21"/>
              </w:rPr>
            </w:pPr>
            <w:r>
              <w:rPr>
                <w:rFonts w:hint="eastAsia" w:ascii="宋体" w:hAnsi="宋体"/>
                <w:szCs w:val="21"/>
              </w:rPr>
              <w:t>从背景、研究内容、产品概述、终端安全组件、逻辑层次图等等方面进行说明</w:t>
            </w:r>
          </w:p>
          <w:p>
            <w:pPr>
              <w:adjustRightInd w:val="0"/>
              <w:snapToGrid w:val="0"/>
              <w:spacing w:line="276" w:lineRule="auto"/>
              <w:rPr>
                <w:rFonts w:ascii="宋体" w:hAnsi="宋体"/>
                <w:szCs w:val="21"/>
              </w:rPr>
            </w:pPr>
            <w:r>
              <w:rPr>
                <w:rFonts w:ascii="宋体" w:hAnsi="宋体"/>
                <w:szCs w:val="21"/>
              </w:rPr>
              <w:t>..    ..    ..</w:t>
            </w:r>
          </w:p>
          <w:p>
            <w:pPr>
              <w:adjustRightInd w:val="0"/>
              <w:snapToGrid w:val="0"/>
              <w:spacing w:line="276" w:lineRule="auto"/>
              <w:rPr>
                <w:rFonts w:ascii="宋体" w:hAnsi="宋体"/>
                <w:szCs w:val="21"/>
              </w:rPr>
            </w:pPr>
            <w:r>
              <w:rPr>
                <w:rFonts w:hint="eastAsia" w:ascii="宋体" w:hAnsi="宋体"/>
                <w:szCs w:val="21"/>
              </w:rPr>
              <w:t>记录清晰，通过会议讨论的方式对需求进行确认，确保满足需求，符合要求。</w:t>
            </w:r>
          </w:p>
          <w:p>
            <w:pPr>
              <w:adjustRightInd w:val="0"/>
              <w:snapToGrid w:val="0"/>
              <w:spacing w:line="276" w:lineRule="auto"/>
              <w:rPr>
                <w:rFonts w:ascii="宋体" w:hAnsi="宋体"/>
                <w:szCs w:val="21"/>
              </w:rPr>
            </w:pPr>
          </w:p>
          <w:p>
            <w:pPr>
              <w:adjustRightInd w:val="0"/>
              <w:snapToGrid w:val="0"/>
              <w:spacing w:line="276" w:lineRule="auto"/>
              <w:rPr>
                <w:rFonts w:ascii="宋体" w:hAnsi="宋体"/>
                <w:szCs w:val="21"/>
              </w:rPr>
            </w:pPr>
            <w:r>
              <w:rPr>
                <w:rFonts w:hint="eastAsia" w:ascii="宋体" w:hAnsi="宋体"/>
                <w:szCs w:val="21"/>
              </w:rPr>
              <w:t>另抽查了说明书、配置管理计划、测试用例等文件，符合要求。</w:t>
            </w:r>
          </w:p>
          <w:p>
            <w:pPr>
              <w:adjustRightInd w:val="0"/>
              <w:snapToGrid w:val="0"/>
              <w:spacing w:line="276" w:lineRule="auto"/>
              <w:rPr>
                <w:rFonts w:ascii="宋体" w:hAnsi="宋体"/>
                <w:szCs w:val="21"/>
              </w:rPr>
            </w:pPr>
          </w:p>
          <w:p>
            <w:pPr>
              <w:adjustRightInd w:val="0"/>
              <w:snapToGrid w:val="0"/>
              <w:spacing w:line="276" w:lineRule="auto"/>
              <w:rPr>
                <w:rFonts w:ascii="宋体" w:hAnsi="宋体"/>
                <w:szCs w:val="21"/>
              </w:rPr>
            </w:pPr>
            <w:r>
              <w:rPr>
                <w:rFonts w:hint="eastAsia" w:ascii="宋体" w:hAnsi="宋体"/>
                <w:szCs w:val="21"/>
              </w:rPr>
              <w:t>抽：设计开发验证报告</w:t>
            </w:r>
          </w:p>
          <w:p>
            <w:pPr>
              <w:adjustRightInd w:val="0"/>
              <w:snapToGrid w:val="0"/>
              <w:spacing w:line="276" w:lineRule="auto"/>
              <w:rPr>
                <w:rFonts w:hint="default" w:ascii="宋体" w:hAnsi="宋体" w:eastAsia="宋体"/>
                <w:szCs w:val="21"/>
                <w:lang w:val="en-US" w:eastAsia="zh-CN"/>
              </w:rPr>
            </w:pPr>
            <w:r>
              <w:rPr>
                <w:rFonts w:hint="eastAsia" w:ascii="宋体" w:hAnsi="宋体"/>
                <w:szCs w:val="21"/>
              </w:rPr>
              <w:t>项目名称：Hula2.0</w:t>
            </w:r>
          </w:p>
          <w:p>
            <w:pPr>
              <w:adjustRightInd w:val="0"/>
              <w:snapToGrid w:val="0"/>
              <w:spacing w:line="276" w:lineRule="auto"/>
              <w:rPr>
                <w:rFonts w:ascii="宋体" w:hAnsi="宋体"/>
                <w:szCs w:val="21"/>
              </w:rPr>
            </w:pPr>
            <w:r>
              <w:rPr>
                <w:rFonts w:hint="eastAsia" w:ascii="宋体" w:hAnsi="宋体"/>
                <w:szCs w:val="21"/>
              </w:rPr>
              <w:t>项目经理：刘高   验证方式：测试验证</w:t>
            </w:r>
          </w:p>
          <w:p>
            <w:pPr>
              <w:adjustRightInd w:val="0"/>
              <w:snapToGrid w:val="0"/>
              <w:spacing w:line="276" w:lineRule="auto"/>
              <w:rPr>
                <w:rFonts w:ascii="宋体" w:hAnsi="宋体"/>
                <w:szCs w:val="21"/>
              </w:rPr>
            </w:pPr>
            <w:r>
              <w:rPr>
                <w:rFonts w:hint="eastAsia" w:ascii="宋体" w:hAnsi="宋体"/>
                <w:szCs w:val="21"/>
              </w:rPr>
              <w:t>人员：黄训斌、吕军、冯留闯、赵千平、闫晓东、王婷婷、郑世宇、李青</w:t>
            </w:r>
          </w:p>
          <w:p>
            <w:pPr>
              <w:adjustRightInd w:val="0"/>
              <w:snapToGrid w:val="0"/>
              <w:spacing w:line="276" w:lineRule="auto"/>
              <w:rPr>
                <w:rFonts w:hint="eastAsia" w:ascii="宋体" w:hAnsi="宋体"/>
                <w:szCs w:val="21"/>
              </w:rPr>
            </w:pPr>
            <w:r>
              <w:rPr>
                <w:rFonts w:hint="eastAsia" w:ascii="宋体" w:hAnsi="宋体"/>
                <w:szCs w:val="21"/>
              </w:rPr>
              <w:t>验证内容；</w:t>
            </w:r>
          </w:p>
          <w:p>
            <w:pPr>
              <w:adjustRightInd w:val="0"/>
              <w:snapToGrid w:val="0"/>
              <w:spacing w:line="276" w:lineRule="auto"/>
              <w:rPr>
                <w:rFonts w:hint="eastAsia" w:ascii="宋体" w:hAnsi="宋体"/>
                <w:szCs w:val="21"/>
                <w:lang w:eastAsia="zh-CN"/>
              </w:rPr>
            </w:pPr>
            <w:r>
              <w:rPr>
                <w:rFonts w:hint="eastAsia" w:ascii="宋体" w:hAnsi="宋体"/>
                <w:szCs w:val="21"/>
              </w:rPr>
              <w:t>2019年12月8日至2020年2月28日，Hula2.0在Facebook平台导量情况如下</w:t>
            </w:r>
            <w:r>
              <w:rPr>
                <w:rFonts w:hint="eastAsia" w:ascii="宋体" w:hAnsi="宋体"/>
                <w:szCs w:val="21"/>
                <w:lang w:eastAsia="zh-CN"/>
              </w:rPr>
              <w:t>：</w:t>
            </w:r>
          </w:p>
          <w:p>
            <w:pPr>
              <w:pStyle w:val="2"/>
              <w:rPr>
                <w:rFonts w:hint="default" w:ascii="宋体" w:hAnsi="宋体"/>
                <w:szCs w:val="21"/>
                <w:lang w:val="en-US" w:eastAsia="zh-CN"/>
              </w:rPr>
            </w:pPr>
            <w:r>
              <w:rPr>
                <w:rFonts w:hint="eastAsia" w:ascii="宋体" w:hAnsi="宋体"/>
                <w:szCs w:val="21"/>
                <w:lang w:eastAsia="zh-CN"/>
              </w:rPr>
              <w:t>费用下载</w:t>
            </w:r>
            <w:r>
              <w:rPr>
                <w:rFonts w:hint="eastAsia" w:ascii="宋体" w:hAnsi="宋体"/>
                <w:szCs w:val="21"/>
                <w:lang w:eastAsia="zh-CN"/>
              </w:rPr>
              <w:tab/>
            </w:r>
            <w:r>
              <w:rPr>
                <w:rFonts w:hint="eastAsia" w:ascii="宋体" w:hAnsi="宋体"/>
                <w:szCs w:val="21"/>
                <w:lang w:eastAsia="zh-CN"/>
              </w:rPr>
              <w:t>展示人数</w:t>
            </w:r>
            <w:r>
              <w:rPr>
                <w:rFonts w:hint="eastAsia" w:ascii="宋体" w:hAnsi="宋体"/>
                <w:szCs w:val="21"/>
                <w:lang w:eastAsia="zh-CN"/>
              </w:rPr>
              <w:tab/>
            </w:r>
            <w:r>
              <w:rPr>
                <w:rFonts w:hint="eastAsia" w:ascii="宋体" w:hAnsi="宋体"/>
                <w:szCs w:val="21"/>
                <w:lang w:eastAsia="zh-CN"/>
              </w:rPr>
              <w:t>展示次数</w:t>
            </w:r>
            <w:r>
              <w:rPr>
                <w:rFonts w:hint="eastAsia" w:ascii="宋体" w:hAnsi="宋体"/>
                <w:szCs w:val="21"/>
                <w:lang w:eastAsia="zh-CN"/>
              </w:rPr>
              <w:tab/>
            </w:r>
            <w:r>
              <w:rPr>
                <w:rFonts w:hint="eastAsia" w:ascii="宋体" w:hAnsi="宋体"/>
                <w:szCs w:val="21"/>
                <w:lang w:eastAsia="zh-CN"/>
              </w:rPr>
              <w:t>重复率</w:t>
            </w:r>
            <w:r>
              <w:rPr>
                <w:rFonts w:hint="eastAsia" w:ascii="宋体" w:hAnsi="宋体"/>
                <w:szCs w:val="21"/>
                <w:lang w:eastAsia="zh-CN"/>
              </w:rPr>
              <w:tab/>
            </w:r>
            <w:r>
              <w:rPr>
                <w:rFonts w:hint="eastAsia" w:ascii="宋体" w:hAnsi="宋体"/>
                <w:szCs w:val="21"/>
                <w:lang w:eastAsia="zh-CN"/>
              </w:rPr>
              <w:t>点击数</w:t>
            </w:r>
            <w:r>
              <w:rPr>
                <w:rFonts w:hint="eastAsia" w:ascii="宋体" w:hAnsi="宋体"/>
                <w:szCs w:val="21"/>
                <w:lang w:val="en-US" w:eastAsia="zh-CN"/>
              </w:rPr>
              <w:t xml:space="preserve">  </w:t>
            </w:r>
          </w:p>
          <w:p>
            <w:pPr>
              <w:pStyle w:val="2"/>
              <w:rPr>
                <w:rFonts w:hint="eastAsia" w:ascii="宋体" w:hAnsi="宋体"/>
                <w:szCs w:val="21"/>
                <w:lang w:eastAsia="zh-CN"/>
              </w:rPr>
            </w:pPr>
            <w:r>
              <w:rPr>
                <w:rFonts w:hint="eastAsia" w:ascii="宋体" w:hAnsi="宋体"/>
                <w:szCs w:val="21"/>
                <w:lang w:eastAsia="zh-CN"/>
              </w:rPr>
              <w:t>14264</w:t>
            </w:r>
            <w:r>
              <w:rPr>
                <w:rFonts w:hint="eastAsia" w:ascii="宋体" w:hAnsi="宋体"/>
                <w:szCs w:val="21"/>
                <w:lang w:val="en-US" w:eastAsia="zh-CN"/>
              </w:rPr>
              <w:t xml:space="preserve">    </w:t>
            </w:r>
            <w:r>
              <w:rPr>
                <w:rFonts w:hint="eastAsia" w:ascii="宋体" w:hAnsi="宋体"/>
                <w:szCs w:val="21"/>
                <w:lang w:eastAsia="zh-CN"/>
              </w:rPr>
              <w:tab/>
            </w:r>
            <w:r>
              <w:rPr>
                <w:rFonts w:hint="eastAsia" w:ascii="宋体" w:hAnsi="宋体"/>
                <w:szCs w:val="21"/>
                <w:lang w:eastAsia="zh-CN"/>
              </w:rPr>
              <w:t>1792884</w:t>
            </w:r>
            <w:r>
              <w:rPr>
                <w:rFonts w:hint="eastAsia" w:ascii="宋体" w:hAnsi="宋体"/>
                <w:szCs w:val="21"/>
                <w:lang w:eastAsia="zh-CN"/>
              </w:rPr>
              <w:tab/>
            </w:r>
            <w:r>
              <w:rPr>
                <w:rFonts w:hint="eastAsia" w:ascii="宋体" w:hAnsi="宋体"/>
                <w:szCs w:val="21"/>
                <w:lang w:val="en-US" w:eastAsia="zh-CN"/>
              </w:rPr>
              <w:t xml:space="preserve">    </w:t>
            </w:r>
            <w:r>
              <w:rPr>
                <w:rFonts w:hint="eastAsia" w:ascii="宋体" w:hAnsi="宋体"/>
                <w:szCs w:val="21"/>
                <w:lang w:eastAsia="zh-CN"/>
              </w:rPr>
              <w:t>3850943</w:t>
            </w:r>
            <w:r>
              <w:rPr>
                <w:rFonts w:hint="eastAsia" w:ascii="宋体" w:hAnsi="宋体"/>
                <w:szCs w:val="21"/>
                <w:lang w:eastAsia="zh-CN"/>
              </w:rPr>
              <w:tab/>
            </w:r>
            <w:r>
              <w:rPr>
                <w:rFonts w:hint="eastAsia" w:ascii="宋体" w:hAnsi="宋体"/>
                <w:szCs w:val="21"/>
                <w:lang w:eastAsia="zh-CN"/>
              </w:rPr>
              <w:t xml:space="preserve">2.15 </w:t>
            </w:r>
            <w:r>
              <w:rPr>
                <w:rFonts w:hint="eastAsia" w:ascii="宋体" w:hAnsi="宋体"/>
                <w:szCs w:val="21"/>
                <w:lang w:eastAsia="zh-CN"/>
              </w:rPr>
              <w:tab/>
            </w:r>
            <w:r>
              <w:rPr>
                <w:rFonts w:hint="eastAsia" w:ascii="宋体" w:hAnsi="宋体"/>
                <w:szCs w:val="21"/>
                <w:lang w:eastAsia="zh-CN"/>
              </w:rPr>
              <w:t>38166</w:t>
            </w:r>
          </w:p>
          <w:p>
            <w:pPr>
              <w:pStyle w:val="2"/>
              <w:rPr>
                <w:rFonts w:hint="eastAsia" w:ascii="宋体" w:hAnsi="宋体"/>
                <w:szCs w:val="21"/>
                <w:lang w:eastAsia="zh-CN"/>
              </w:rPr>
            </w:pPr>
            <w:r>
              <w:rPr>
                <w:rFonts w:hint="eastAsia" w:ascii="宋体" w:hAnsi="宋体"/>
                <w:szCs w:val="21"/>
                <w:lang w:val="en-US" w:eastAsia="zh-CN"/>
              </w:rPr>
              <w:t xml:space="preserve">费用       </w:t>
            </w:r>
            <w:r>
              <w:rPr>
                <w:rFonts w:hint="eastAsia" w:ascii="宋体" w:hAnsi="宋体"/>
                <w:szCs w:val="21"/>
                <w:lang w:eastAsia="zh-CN"/>
              </w:rPr>
              <w:t>CPM</w:t>
            </w:r>
            <w:r>
              <w:rPr>
                <w:rFonts w:hint="eastAsia" w:ascii="宋体" w:hAnsi="宋体"/>
                <w:szCs w:val="21"/>
                <w:lang w:val="en-US" w:eastAsia="zh-CN"/>
              </w:rPr>
              <w:t xml:space="preserve">    </w:t>
            </w:r>
            <w:r>
              <w:rPr>
                <w:rFonts w:hint="eastAsia" w:ascii="宋体" w:hAnsi="宋体"/>
                <w:szCs w:val="21"/>
                <w:lang w:eastAsia="zh-CN"/>
              </w:rPr>
              <w:t>CTR</w:t>
            </w:r>
            <w:r>
              <w:rPr>
                <w:rFonts w:hint="eastAsia" w:ascii="宋体" w:hAnsi="宋体"/>
                <w:szCs w:val="21"/>
                <w:lang w:eastAsia="zh-CN"/>
              </w:rPr>
              <w:tab/>
            </w:r>
            <w:r>
              <w:rPr>
                <w:rFonts w:hint="eastAsia" w:ascii="宋体" w:hAnsi="宋体"/>
                <w:szCs w:val="21"/>
                <w:lang w:val="en-US" w:eastAsia="zh-CN"/>
              </w:rPr>
              <w:t xml:space="preserve">  </w:t>
            </w:r>
            <w:r>
              <w:rPr>
                <w:rFonts w:hint="eastAsia" w:ascii="宋体" w:hAnsi="宋体"/>
                <w:szCs w:val="21"/>
                <w:lang w:eastAsia="zh-CN"/>
              </w:rPr>
              <w:t>CVR</w:t>
            </w:r>
            <w:r>
              <w:rPr>
                <w:rFonts w:hint="eastAsia" w:ascii="宋体" w:hAnsi="宋体"/>
                <w:szCs w:val="21"/>
                <w:lang w:eastAsia="zh-CN"/>
              </w:rPr>
              <w:tab/>
            </w:r>
            <w:r>
              <w:rPr>
                <w:rFonts w:hint="eastAsia" w:ascii="宋体" w:hAnsi="宋体"/>
                <w:szCs w:val="21"/>
                <w:lang w:eastAsia="zh-CN"/>
              </w:rPr>
              <w:t>CPI</w:t>
            </w:r>
          </w:p>
          <w:p>
            <w:pPr>
              <w:pStyle w:val="2"/>
              <w:rPr>
                <w:rFonts w:hint="eastAsia" w:ascii="宋体" w:hAnsi="宋体"/>
                <w:szCs w:val="21"/>
                <w:lang w:eastAsia="zh-CN"/>
              </w:rPr>
            </w:pPr>
            <w:r>
              <w:rPr>
                <w:rFonts w:hint="eastAsia" w:ascii="宋体" w:hAnsi="宋体"/>
                <w:szCs w:val="21"/>
                <w:lang w:eastAsia="zh-CN"/>
              </w:rPr>
              <w:t>$7,542.99</w:t>
            </w:r>
            <w:r>
              <w:rPr>
                <w:rFonts w:hint="eastAsia" w:ascii="宋体" w:hAnsi="宋体"/>
                <w:szCs w:val="21"/>
                <w:lang w:eastAsia="zh-CN"/>
              </w:rPr>
              <w:tab/>
            </w:r>
            <w:r>
              <w:rPr>
                <w:rFonts w:hint="eastAsia" w:ascii="宋体" w:hAnsi="宋体"/>
                <w:szCs w:val="21"/>
                <w:lang w:eastAsia="zh-CN"/>
              </w:rPr>
              <w:t xml:space="preserve">$1.96 </w:t>
            </w:r>
            <w:r>
              <w:rPr>
                <w:rFonts w:hint="eastAsia" w:ascii="宋体" w:hAnsi="宋体"/>
                <w:szCs w:val="21"/>
                <w:lang w:eastAsia="zh-CN"/>
              </w:rPr>
              <w:tab/>
            </w:r>
            <w:r>
              <w:rPr>
                <w:rFonts w:hint="eastAsia" w:ascii="宋体" w:hAnsi="宋体"/>
                <w:szCs w:val="21"/>
                <w:lang w:eastAsia="zh-CN"/>
              </w:rPr>
              <w:t>0.99%</w:t>
            </w:r>
            <w:r>
              <w:rPr>
                <w:rFonts w:hint="eastAsia" w:ascii="宋体" w:hAnsi="宋体"/>
                <w:szCs w:val="21"/>
                <w:lang w:eastAsia="zh-CN"/>
              </w:rPr>
              <w:tab/>
            </w:r>
            <w:r>
              <w:rPr>
                <w:rFonts w:hint="eastAsia" w:ascii="宋体" w:hAnsi="宋体"/>
                <w:szCs w:val="21"/>
                <w:lang w:eastAsia="zh-CN"/>
              </w:rPr>
              <w:t>37.37%</w:t>
            </w:r>
            <w:r>
              <w:rPr>
                <w:rFonts w:hint="eastAsia" w:ascii="宋体" w:hAnsi="宋体"/>
                <w:szCs w:val="21"/>
                <w:lang w:eastAsia="zh-CN"/>
              </w:rPr>
              <w:tab/>
            </w:r>
            <w:r>
              <w:rPr>
                <w:rFonts w:hint="eastAsia" w:ascii="宋体" w:hAnsi="宋体"/>
                <w:szCs w:val="21"/>
                <w:lang w:eastAsia="zh-CN"/>
              </w:rPr>
              <w:t xml:space="preserve">$0.53 </w:t>
            </w:r>
          </w:p>
          <w:p>
            <w:pPr>
              <w:pStyle w:val="2"/>
              <w:rPr>
                <w:rFonts w:hint="eastAsia" w:ascii="宋体" w:hAnsi="宋体"/>
                <w:szCs w:val="21"/>
                <w:lang w:eastAsia="zh-CN"/>
              </w:rPr>
            </w:pPr>
            <w:r>
              <w:rPr>
                <w:rFonts w:hint="eastAsia" w:ascii="宋体" w:hAnsi="宋体"/>
                <w:szCs w:val="21"/>
                <w:lang w:eastAsia="zh-CN"/>
              </w:rPr>
              <w:t>结论：1.市场CPM为1.96美金，竞争有所加剧</w:t>
            </w:r>
          </w:p>
          <w:p>
            <w:pPr>
              <w:pStyle w:val="2"/>
              <w:numPr>
                <w:ilvl w:val="0"/>
                <w:numId w:val="2"/>
              </w:numPr>
              <w:rPr>
                <w:rFonts w:hint="eastAsia" w:ascii="宋体" w:hAnsi="宋体"/>
                <w:szCs w:val="21"/>
                <w:lang w:eastAsia="zh-CN"/>
              </w:rPr>
            </w:pPr>
            <w:r>
              <w:rPr>
                <w:rFonts w:hint="eastAsia" w:ascii="宋体" w:hAnsi="宋体"/>
                <w:szCs w:val="21"/>
                <w:lang w:eastAsia="zh-CN"/>
              </w:rPr>
              <w:t>转化率为37.37%，高于平均水平，说明Gp下载界面的描述，icon提交截图相关具有较大的吸引力，且与广告图相关度较大</w:t>
            </w:r>
          </w:p>
          <w:p>
            <w:pPr>
              <w:pStyle w:val="2"/>
              <w:numPr>
                <w:ilvl w:val="0"/>
                <w:numId w:val="2"/>
              </w:numPr>
              <w:rPr>
                <w:rFonts w:hint="eastAsia" w:ascii="宋体" w:hAnsi="宋体"/>
                <w:szCs w:val="21"/>
                <w:lang w:eastAsia="zh-CN"/>
              </w:rPr>
            </w:pPr>
            <w:r>
              <w:rPr>
                <w:rFonts w:hint="eastAsia" w:ascii="宋体" w:hAnsi="宋体"/>
                <w:szCs w:val="21"/>
                <w:lang w:eastAsia="zh-CN"/>
              </w:rPr>
              <w:t>广告投放需重点优化点击率，争取做到2%，降低市场成本</w:t>
            </w:r>
          </w:p>
          <w:p>
            <w:pPr>
              <w:pStyle w:val="2"/>
              <w:numPr>
                <w:ilvl w:val="0"/>
                <w:numId w:val="2"/>
              </w:numPr>
              <w:rPr>
                <w:rFonts w:hint="eastAsia" w:ascii="宋体" w:hAnsi="宋体"/>
                <w:szCs w:val="21"/>
                <w:lang w:eastAsia="zh-CN"/>
              </w:rPr>
            </w:pPr>
            <w:r>
              <w:rPr>
                <w:rFonts w:hint="eastAsia" w:ascii="宋体" w:hAnsi="宋体"/>
                <w:szCs w:val="21"/>
                <w:lang w:eastAsia="zh-CN"/>
              </w:rPr>
              <w:t>鉴于超过2的重复率，一要保证广告素材的及时更新，二要嵌入fb事件监控，观察排除老用户后的数据情况</w:t>
            </w:r>
          </w:p>
          <w:p>
            <w:pPr>
              <w:adjustRightInd w:val="0"/>
              <w:snapToGrid w:val="0"/>
              <w:spacing w:line="276" w:lineRule="auto"/>
              <w:rPr>
                <w:rFonts w:ascii="宋体" w:hAnsi="宋体"/>
                <w:szCs w:val="21"/>
              </w:rPr>
            </w:pPr>
            <w:r>
              <w:rPr>
                <w:rFonts w:hint="eastAsia" w:ascii="宋体" w:hAnsi="宋体"/>
                <w:szCs w:val="21"/>
              </w:rPr>
              <w:t>验证结论：符合要求2019年6月1日</w:t>
            </w:r>
          </w:p>
          <w:p>
            <w:pPr>
              <w:pStyle w:val="2"/>
            </w:pPr>
          </w:p>
          <w:p>
            <w:pPr>
              <w:adjustRightInd w:val="0"/>
              <w:snapToGrid w:val="0"/>
              <w:spacing w:line="276" w:lineRule="auto"/>
              <w:rPr>
                <w:rFonts w:hint="default" w:ascii="宋体" w:hAnsi="宋体" w:eastAsia="宋体"/>
                <w:szCs w:val="21"/>
                <w:lang w:val="en-US" w:eastAsia="zh-CN"/>
              </w:rPr>
            </w:pPr>
            <w:r>
              <w:rPr>
                <w:rFonts w:hint="eastAsia" w:ascii="宋体" w:hAnsi="宋体"/>
                <w:szCs w:val="21"/>
              </w:rPr>
              <w:t>项目名称：</w:t>
            </w:r>
            <w:r>
              <w:rPr>
                <w:rFonts w:hint="eastAsia" w:ascii="宋体" w:hAnsi="宋体"/>
                <w:szCs w:val="21"/>
                <w:lang w:val="en-US" w:eastAsia="zh-CN"/>
              </w:rPr>
              <w:t>特种频谱分析软件开发</w:t>
            </w:r>
          </w:p>
          <w:p>
            <w:pPr>
              <w:adjustRightInd w:val="0"/>
              <w:snapToGrid w:val="0"/>
              <w:spacing w:line="276" w:lineRule="auto"/>
              <w:rPr>
                <w:rFonts w:ascii="宋体" w:hAnsi="宋体"/>
                <w:szCs w:val="21"/>
              </w:rPr>
            </w:pPr>
            <w:r>
              <w:rPr>
                <w:rFonts w:hint="eastAsia" w:ascii="宋体" w:hAnsi="宋体"/>
                <w:szCs w:val="21"/>
              </w:rPr>
              <w:t>确认方式 ：</w:t>
            </w:r>
            <w:r>
              <w:rPr>
                <w:rFonts w:hint="eastAsia" w:ascii="宋体" w:hAnsi="宋体"/>
                <w:szCs w:val="21"/>
                <w:lang w:val="en-US" w:eastAsia="zh-CN"/>
              </w:rPr>
              <w:t>运行验收</w:t>
            </w:r>
            <w:r>
              <w:rPr>
                <w:rFonts w:hint="eastAsia" w:ascii="宋体" w:hAnsi="宋体"/>
                <w:szCs w:val="21"/>
              </w:rPr>
              <w:t>的方式进行确认</w:t>
            </w:r>
          </w:p>
          <w:p>
            <w:pPr>
              <w:adjustRightInd w:val="0"/>
              <w:snapToGrid w:val="0"/>
              <w:spacing w:line="276" w:lineRule="auto"/>
              <w:rPr>
                <w:rFonts w:ascii="宋体" w:hAnsi="宋体"/>
                <w:szCs w:val="21"/>
              </w:rPr>
            </w:pPr>
            <w:r>
              <w:drawing>
                <wp:inline distT="0" distB="0" distL="114300" distR="114300">
                  <wp:extent cx="2921000" cy="20193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2921000" cy="2019300"/>
                          </a:xfrm>
                          <a:prstGeom prst="rect">
                            <a:avLst/>
                          </a:prstGeom>
                          <a:noFill/>
                          <a:ln>
                            <a:noFill/>
                          </a:ln>
                        </pic:spPr>
                      </pic:pic>
                    </a:graphicData>
                  </a:graphic>
                </wp:inline>
              </w:drawing>
            </w:r>
          </w:p>
          <w:p>
            <w:pPr>
              <w:adjustRightInd w:val="0"/>
              <w:snapToGrid w:val="0"/>
              <w:spacing w:line="276" w:lineRule="auto"/>
              <w:rPr>
                <w:rFonts w:ascii="宋体" w:hAnsi="宋体"/>
                <w:szCs w:val="21"/>
              </w:rPr>
            </w:pPr>
          </w:p>
          <w:p>
            <w:pPr>
              <w:adjustRightInd w:val="0"/>
              <w:snapToGrid w:val="0"/>
              <w:spacing w:line="276" w:lineRule="auto"/>
              <w:rPr>
                <w:rFonts w:ascii="宋体" w:hAnsi="宋体"/>
                <w:szCs w:val="21"/>
              </w:rPr>
            </w:pPr>
            <w:r>
              <w:rPr>
                <w:rFonts w:hint="eastAsia" w:ascii="宋体" w:hAnsi="宋体"/>
                <w:szCs w:val="21"/>
              </w:rPr>
              <w:t>目前项目设计和开发尚未发生更改情况。</w:t>
            </w:r>
          </w:p>
        </w:tc>
        <w:tc>
          <w:tcPr>
            <w:tcW w:w="1585" w:type="dxa"/>
          </w:tcPr>
          <w:p>
            <w:pPr>
              <w:spacing w:line="276"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宋体" w:hAnsi="宋体"/>
                <w:szCs w:val="21"/>
              </w:rPr>
            </w:pPr>
            <w:r>
              <w:rPr>
                <w:rFonts w:hint="eastAsia" w:ascii="宋体" w:hAnsi="宋体"/>
                <w:szCs w:val="21"/>
              </w:rPr>
              <w:t>生产和服务提供的控制</w:t>
            </w:r>
          </w:p>
        </w:tc>
        <w:tc>
          <w:tcPr>
            <w:tcW w:w="960" w:type="dxa"/>
            <w:vAlign w:val="center"/>
          </w:tcPr>
          <w:p>
            <w:pPr>
              <w:spacing w:line="276" w:lineRule="auto"/>
              <w:rPr>
                <w:rFonts w:ascii="宋体" w:hAnsi="宋体"/>
                <w:szCs w:val="21"/>
              </w:rPr>
            </w:pPr>
            <w:r>
              <w:rPr>
                <w:rFonts w:hint="eastAsia" w:ascii="宋体" w:hAnsi="宋体"/>
                <w:szCs w:val="21"/>
              </w:rPr>
              <w:t>8.5.1</w:t>
            </w:r>
          </w:p>
        </w:tc>
        <w:tc>
          <w:tcPr>
            <w:tcW w:w="10004" w:type="dxa"/>
            <w:vAlign w:val="center"/>
          </w:tcPr>
          <w:p>
            <w:pPr>
              <w:adjustRightInd w:val="0"/>
              <w:snapToGrid w:val="0"/>
              <w:spacing w:line="276" w:lineRule="auto"/>
              <w:rPr>
                <w:rFonts w:ascii="宋体" w:hAnsi="宋体"/>
                <w:szCs w:val="21"/>
              </w:rPr>
            </w:pPr>
            <w:r>
              <w:rPr>
                <w:rFonts w:hint="eastAsia" w:ascii="宋体" w:hAnsi="宋体"/>
                <w:szCs w:val="21"/>
              </w:rPr>
              <w:t>a ）获得的文件化信息</w:t>
            </w:r>
          </w:p>
          <w:p>
            <w:pPr>
              <w:adjustRightInd w:val="0"/>
              <w:snapToGrid w:val="0"/>
              <w:spacing w:line="276" w:lineRule="auto"/>
              <w:rPr>
                <w:rFonts w:ascii="宋体" w:hAnsi="宋体"/>
                <w:szCs w:val="21"/>
              </w:rPr>
            </w:pPr>
            <w:r>
              <w:rPr>
                <w:rFonts w:hint="eastAsia" w:ascii="宋体" w:hAnsi="宋体"/>
                <w:szCs w:val="21"/>
              </w:rPr>
              <w:t xml:space="preserve">   1）编制了质量《管理手册》中8.5.1明确了控制的过程、活动、要求以及控制的职责和方法。编制了</w:t>
            </w:r>
            <w:r>
              <w:rPr>
                <w:rFonts w:hint="eastAsia"/>
                <w:szCs w:val="21"/>
              </w:rPr>
              <w:t>《软件测试作业指导书》《软件检验作业指导书》《软件开发作业指导书》《软件项目管理制度》</w:t>
            </w:r>
            <w:r>
              <w:rPr>
                <w:rFonts w:hint="eastAsia" w:ascii="宋体" w:hAnsi="宋体"/>
                <w:szCs w:val="21"/>
              </w:rPr>
              <w:t>等作业文件，能够软件开发过程起指导作用。</w:t>
            </w:r>
          </w:p>
          <w:p>
            <w:pPr>
              <w:adjustRightInd w:val="0"/>
              <w:snapToGrid w:val="0"/>
              <w:spacing w:line="276" w:lineRule="auto"/>
              <w:rPr>
                <w:rFonts w:ascii="宋体" w:hAnsi="宋体"/>
                <w:szCs w:val="21"/>
              </w:rPr>
            </w:pPr>
            <w:r>
              <w:rPr>
                <w:rFonts w:hint="eastAsia" w:ascii="宋体" w:hAnsi="宋体"/>
                <w:szCs w:val="21"/>
              </w:rPr>
              <w:t>提供《配置管理计划》</w:t>
            </w:r>
          </w:p>
          <w:p>
            <w:pPr>
              <w:adjustRightInd w:val="0"/>
              <w:snapToGrid w:val="0"/>
              <w:spacing w:line="276" w:lineRule="auto"/>
              <w:rPr>
                <w:rFonts w:ascii="宋体" w:hAnsi="宋体"/>
                <w:szCs w:val="21"/>
              </w:rPr>
            </w:pPr>
            <w:r>
              <w:rPr>
                <w:rFonts w:hint="eastAsia" w:ascii="宋体" w:hAnsi="宋体"/>
                <w:szCs w:val="21"/>
              </w:rPr>
              <w:t>对人员职责、软硬件资源、配置项和基线计划、配置库结构及权限设置、备份计划等进行了规定。</w:t>
            </w:r>
          </w:p>
          <w:p>
            <w:pPr>
              <w:adjustRightInd w:val="0"/>
              <w:snapToGrid w:val="0"/>
              <w:spacing w:line="276" w:lineRule="auto"/>
              <w:rPr>
                <w:rFonts w:ascii="宋体" w:hAnsi="宋体"/>
                <w:szCs w:val="21"/>
              </w:rPr>
            </w:pPr>
            <w:r>
              <w:rPr>
                <w:rFonts w:hint="eastAsia" w:ascii="宋体" w:hAnsi="宋体"/>
                <w:szCs w:val="21"/>
              </w:rPr>
              <w:t>2）公司的软件开发是依据需求进行。同时符合相关法律法规要求：《中华人民共和国著作权法》《中华人民共和国合同法》《中华人民共和国消费者权益保护法》 GB/T20157-2006《信息技术 软件维护》GB/T20158-2006《信息技术 软件生存周期过程配置管理》GB/T8567-2006《计算机软件文档编制规范》GB/T9385-2008《计算机软件需求规格说明规范》GB/T 15532-2008　《计算机软件测试规范》GB/T9386-2008《计算机软件测试文档编制规范》GB/T28035-2011《软件系统验收规范》等国家法律法规、标准要求；</w:t>
            </w:r>
          </w:p>
          <w:p>
            <w:pPr>
              <w:adjustRightInd w:val="0"/>
              <w:snapToGrid w:val="0"/>
              <w:spacing w:line="276" w:lineRule="auto"/>
              <w:rPr>
                <w:rFonts w:ascii="宋体" w:hAnsi="宋体"/>
                <w:szCs w:val="21"/>
              </w:rPr>
            </w:pPr>
            <w:r>
              <w:rPr>
                <w:rFonts w:hint="eastAsia" w:ascii="宋体" w:hAnsi="宋体"/>
                <w:szCs w:val="21"/>
              </w:rPr>
              <w:t>3）策划了</w:t>
            </w:r>
            <w:r>
              <w:rPr>
                <w:rFonts w:hint="eastAsia"/>
                <w:szCs w:val="21"/>
              </w:rPr>
              <w:t>《软件测试作业指导书》《软件检验作业指导书》《软件开发作业指导书》《软件项目管理制度》</w:t>
            </w:r>
            <w:r>
              <w:rPr>
                <w:rFonts w:hint="eastAsia" w:ascii="宋体" w:hAnsi="宋体"/>
                <w:szCs w:val="21"/>
              </w:rPr>
              <w:t>等作业指导书和需求分析、测试记录、验收报告等记录。</w:t>
            </w:r>
          </w:p>
          <w:p>
            <w:pPr>
              <w:adjustRightInd w:val="0"/>
              <w:snapToGrid w:val="0"/>
              <w:spacing w:line="276" w:lineRule="auto"/>
              <w:rPr>
                <w:rFonts w:ascii="宋体" w:hAnsi="宋体"/>
                <w:szCs w:val="21"/>
              </w:rPr>
            </w:pPr>
            <w:r>
              <w:rPr>
                <w:rFonts w:hint="eastAsia" w:ascii="宋体" w:hAnsi="宋体"/>
                <w:szCs w:val="21"/>
              </w:rPr>
              <w:t>b）获得和使用监视和测量资源：</w:t>
            </w:r>
          </w:p>
          <w:p>
            <w:pPr>
              <w:adjustRightInd w:val="0"/>
              <w:snapToGrid w:val="0"/>
              <w:spacing w:line="276" w:lineRule="auto"/>
              <w:rPr>
                <w:rFonts w:ascii="宋体" w:hAnsi="宋体"/>
                <w:szCs w:val="21"/>
              </w:rPr>
            </w:pPr>
            <w:r>
              <w:rPr>
                <w:rFonts w:hint="eastAsia" w:ascii="宋体" w:hAnsi="宋体"/>
                <w:szCs w:val="21"/>
              </w:rPr>
              <w:t>公司软件开发过程中涉及的监视和测量工具主要是由公司测试员编制的测试用例，对于测试用例在编制完成后使用前均进行了验证确认。可满足策划需要。</w:t>
            </w:r>
          </w:p>
          <w:p>
            <w:pPr>
              <w:adjustRightInd w:val="0"/>
              <w:snapToGrid w:val="0"/>
              <w:spacing w:line="276" w:lineRule="auto"/>
              <w:rPr>
                <w:rFonts w:ascii="宋体" w:hAnsi="宋体"/>
                <w:szCs w:val="21"/>
              </w:rPr>
            </w:pPr>
            <w:r>
              <w:rPr>
                <w:rFonts w:hint="eastAsia" w:ascii="宋体" w:hAnsi="宋体"/>
                <w:szCs w:val="21"/>
              </w:rPr>
              <w:t>c） 实施监视和测量</w:t>
            </w:r>
          </w:p>
          <w:p>
            <w:pPr>
              <w:adjustRightInd w:val="0"/>
              <w:snapToGrid w:val="0"/>
              <w:spacing w:line="276" w:lineRule="auto"/>
              <w:rPr>
                <w:rFonts w:ascii="宋体" w:hAnsi="宋体"/>
                <w:szCs w:val="21"/>
              </w:rPr>
            </w:pPr>
            <w:r>
              <w:rPr>
                <w:rFonts w:hint="eastAsia" w:ascii="宋体" w:hAnsi="宋体"/>
                <w:szCs w:val="21"/>
              </w:rPr>
              <w:t xml:space="preserve">对软件开发结果进行测试，通过代码走查及时发生代码问题 </w:t>
            </w:r>
          </w:p>
          <w:p>
            <w:pPr>
              <w:adjustRightInd w:val="0"/>
              <w:snapToGrid w:val="0"/>
              <w:spacing w:line="276" w:lineRule="auto"/>
              <w:rPr>
                <w:rFonts w:ascii="宋体" w:hAnsi="宋体"/>
                <w:szCs w:val="21"/>
              </w:rPr>
            </w:pPr>
            <w:r>
              <w:rPr>
                <w:rFonts w:hint="eastAsia" w:ascii="宋体" w:hAnsi="宋体"/>
                <w:szCs w:val="21"/>
              </w:rPr>
              <w:t>d)使用适宜的基础设施，保持适宜的环境</w:t>
            </w:r>
          </w:p>
          <w:p>
            <w:pPr>
              <w:adjustRightInd w:val="0"/>
              <w:snapToGrid w:val="0"/>
              <w:spacing w:line="276" w:lineRule="auto"/>
              <w:rPr>
                <w:rFonts w:ascii="宋体" w:hAnsi="宋体"/>
                <w:szCs w:val="21"/>
              </w:rPr>
            </w:pPr>
            <w:r>
              <w:rPr>
                <w:rFonts w:hint="eastAsia" w:ascii="宋体" w:hAnsi="宋体"/>
                <w:szCs w:val="21"/>
              </w:rPr>
              <w:t>提供主要办公设备有电脑、打印机、传真机、扫描仪等，办公设备的局域网维护、灰尘清扫、电脑杀毒和一些设备的耗材等工作有专人负责，基本可满足日常办公需要。</w:t>
            </w:r>
          </w:p>
          <w:p>
            <w:pPr>
              <w:adjustRightInd w:val="0"/>
              <w:snapToGrid w:val="0"/>
              <w:spacing w:line="276" w:lineRule="auto"/>
              <w:rPr>
                <w:rFonts w:ascii="宋体" w:hAnsi="宋体"/>
                <w:szCs w:val="21"/>
              </w:rPr>
            </w:pPr>
            <w:r>
              <w:rPr>
                <w:rFonts w:hint="eastAsia" w:ascii="宋体" w:hAnsi="宋体"/>
                <w:szCs w:val="21"/>
              </w:rPr>
              <w:t>e)配备胜任的人员，包括所要求的资格</w:t>
            </w:r>
          </w:p>
          <w:p>
            <w:pPr>
              <w:adjustRightInd w:val="0"/>
              <w:snapToGrid w:val="0"/>
              <w:spacing w:line="276" w:lineRule="auto"/>
              <w:rPr>
                <w:rFonts w:ascii="宋体" w:hAnsi="宋体"/>
                <w:szCs w:val="21"/>
              </w:rPr>
            </w:pPr>
            <w:r>
              <w:rPr>
                <w:rFonts w:hint="eastAsia" w:ascii="宋体" w:hAnsi="宋体"/>
                <w:szCs w:val="21"/>
              </w:rPr>
              <w:t>提供了岗位职责与任职要求。对员工岗位、学历、教育及培训经历、技能、经验方面进行了评价。软件开发人员均为计算机相关专业本科学历，多年工作经验，可满足软件策划需要。</w:t>
            </w:r>
          </w:p>
          <w:p>
            <w:pPr>
              <w:adjustRightInd w:val="0"/>
              <w:snapToGrid w:val="0"/>
              <w:spacing w:line="276" w:lineRule="auto"/>
              <w:rPr>
                <w:rFonts w:hint="default" w:ascii="宋体" w:hAnsi="宋体" w:eastAsia="宋体"/>
                <w:szCs w:val="21"/>
                <w:lang w:val="en-US" w:eastAsia="zh-CN"/>
              </w:rPr>
            </w:pPr>
            <w:r>
              <w:rPr>
                <w:rFonts w:hint="eastAsia" w:ascii="宋体" w:hAnsi="宋体"/>
                <w:szCs w:val="21"/>
              </w:rPr>
              <w:t>f) 需确认过程，经确认，无需要确认的过程。</w:t>
            </w:r>
            <w:r>
              <w:rPr>
                <w:rFonts w:hint="eastAsia" w:ascii="宋体" w:hAnsi="宋体"/>
                <w:szCs w:val="21"/>
                <w:lang w:val="en-US" w:eastAsia="zh-CN"/>
              </w:rPr>
              <w:t>关键过程为编码</w:t>
            </w:r>
          </w:p>
          <w:p>
            <w:pPr>
              <w:adjustRightInd w:val="0"/>
              <w:snapToGrid w:val="0"/>
              <w:spacing w:line="276" w:lineRule="auto"/>
              <w:rPr>
                <w:rFonts w:ascii="宋体" w:hAnsi="宋体"/>
                <w:szCs w:val="21"/>
              </w:rPr>
            </w:pPr>
            <w:r>
              <w:rPr>
                <w:rFonts w:hint="eastAsia" w:ascii="宋体" w:hAnsi="宋体"/>
                <w:szCs w:val="21"/>
              </w:rPr>
              <w:t>g)采取措施，防止人为错误</w:t>
            </w:r>
          </w:p>
          <w:p>
            <w:pPr>
              <w:adjustRightInd w:val="0"/>
              <w:snapToGrid w:val="0"/>
              <w:spacing w:line="276" w:lineRule="auto"/>
              <w:rPr>
                <w:rFonts w:ascii="宋体" w:hAnsi="宋体"/>
                <w:szCs w:val="21"/>
              </w:rPr>
            </w:pPr>
            <w:r>
              <w:rPr>
                <w:rFonts w:hint="eastAsia" w:ascii="宋体" w:hAnsi="宋体"/>
                <w:szCs w:val="21"/>
              </w:rPr>
              <w:t>定期对用例及脚本进行阶段备份，内部局域网进行定期杀毒，测试用例及脚本进行加密管理.</w:t>
            </w:r>
          </w:p>
          <w:p>
            <w:pPr>
              <w:adjustRightInd w:val="0"/>
              <w:snapToGrid w:val="0"/>
              <w:spacing w:line="276" w:lineRule="auto"/>
              <w:rPr>
                <w:rFonts w:ascii="宋体" w:hAnsi="宋体"/>
                <w:szCs w:val="21"/>
              </w:rPr>
            </w:pPr>
            <w:r>
              <w:rPr>
                <w:rFonts w:hint="eastAsia" w:ascii="宋体" w:hAnsi="宋体"/>
                <w:szCs w:val="21"/>
              </w:rPr>
              <w:t>定期对服务器内容进行备份。</w:t>
            </w:r>
          </w:p>
          <w:p>
            <w:pPr>
              <w:adjustRightInd w:val="0"/>
              <w:snapToGrid w:val="0"/>
              <w:spacing w:line="276" w:lineRule="auto"/>
              <w:rPr>
                <w:rFonts w:ascii="宋体" w:hAnsi="宋体"/>
                <w:szCs w:val="21"/>
              </w:rPr>
            </w:pPr>
            <w:r>
              <w:rPr>
                <w:rFonts w:hint="eastAsia" w:ascii="宋体" w:hAnsi="宋体"/>
                <w:szCs w:val="21"/>
              </w:rPr>
              <w:t>h）实施放行、交付和交付后的活动</w:t>
            </w:r>
          </w:p>
          <w:p>
            <w:pPr>
              <w:adjustRightInd w:val="0"/>
              <w:snapToGrid w:val="0"/>
              <w:spacing w:line="276" w:lineRule="auto"/>
              <w:rPr>
                <w:rFonts w:ascii="宋体" w:hAnsi="宋体"/>
                <w:szCs w:val="21"/>
              </w:rPr>
            </w:pPr>
            <w:r>
              <w:rPr>
                <w:rFonts w:hint="eastAsia" w:ascii="宋体" w:hAnsi="宋体"/>
                <w:szCs w:val="21"/>
              </w:rPr>
              <w:t>软件开发完成后由工程师将系统程序文件夹分类制作光盘，进行运行安装验收；部分软件源代码、软件说明书等均采取移动存储设备拷贝形式进行。</w:t>
            </w:r>
          </w:p>
          <w:p>
            <w:pPr>
              <w:adjustRightInd w:val="0"/>
              <w:snapToGrid w:val="0"/>
              <w:spacing w:line="276" w:lineRule="auto"/>
              <w:rPr>
                <w:rFonts w:ascii="宋体" w:hAnsi="宋体"/>
                <w:szCs w:val="21"/>
              </w:rPr>
            </w:pPr>
          </w:p>
          <w:p>
            <w:pPr>
              <w:adjustRightInd w:val="0"/>
              <w:snapToGrid w:val="0"/>
              <w:spacing w:line="276" w:lineRule="auto"/>
              <w:rPr>
                <w:rFonts w:ascii="宋体" w:hAnsi="宋体"/>
                <w:szCs w:val="21"/>
              </w:rPr>
            </w:pPr>
            <w:r>
              <w:rPr>
                <w:rFonts w:hint="eastAsia" w:ascii="宋体" w:hAnsi="宋体"/>
                <w:szCs w:val="21"/>
              </w:rPr>
              <w:t>现场有员工正在进行“基于区块链的电子证据系统”软件开发工作，有序进行，现场观察员工能够按照工作规范和要求进行工作，抽查一名开发人员询问软件开发相关要求，能够较准确回答，满足要求。</w:t>
            </w:r>
          </w:p>
          <w:p>
            <w:pPr>
              <w:adjustRightInd w:val="0"/>
              <w:snapToGrid w:val="0"/>
              <w:spacing w:line="276" w:lineRule="auto"/>
              <w:rPr>
                <w:rFonts w:ascii="宋体" w:hAnsi="宋体"/>
                <w:szCs w:val="21"/>
              </w:rPr>
            </w:pPr>
            <w:r>
              <w:rPr>
                <w:rFonts w:hint="eastAsia" w:ascii="宋体" w:hAnsi="宋体"/>
                <w:szCs w:val="21"/>
              </w:rPr>
              <w:t>提供了开发策划书、产品说明书等</w:t>
            </w:r>
          </w:p>
          <w:p>
            <w:pPr>
              <w:adjustRightInd w:val="0"/>
              <w:snapToGrid w:val="0"/>
              <w:spacing w:line="276" w:lineRule="auto"/>
              <w:rPr>
                <w:rFonts w:ascii="宋体" w:hAnsi="宋体"/>
                <w:szCs w:val="21"/>
              </w:rPr>
            </w:pPr>
          </w:p>
          <w:p>
            <w:pPr>
              <w:adjustRightInd w:val="0"/>
              <w:snapToGrid w:val="0"/>
              <w:spacing w:line="276" w:lineRule="auto"/>
              <w:rPr>
                <w:rFonts w:ascii="宋体" w:hAnsi="宋体"/>
                <w:szCs w:val="21"/>
              </w:rPr>
            </w:pPr>
            <w:r>
              <w:rPr>
                <w:rFonts w:hint="eastAsia" w:ascii="宋体" w:hAnsi="宋体"/>
                <w:szCs w:val="21"/>
              </w:rPr>
              <w:t>抽查《软件开发作业指导书》</w:t>
            </w:r>
          </w:p>
          <w:p>
            <w:pPr>
              <w:adjustRightInd w:val="0"/>
              <w:snapToGrid w:val="0"/>
              <w:spacing w:line="276" w:lineRule="auto"/>
              <w:rPr>
                <w:rFonts w:ascii="宋体" w:hAnsi="宋体"/>
                <w:szCs w:val="21"/>
              </w:rPr>
            </w:pPr>
            <w:r>
              <w:rPr>
                <w:rFonts w:hint="eastAsia" w:ascii="宋体" w:hAnsi="宋体"/>
                <w:szCs w:val="21"/>
              </w:rPr>
              <w:t>写明了目的、范围、职责、开发过程前期准备工作，实施过程控制、验收、培训、技术支持等内容，审核后发布。记录清晰完整，符合要求。</w:t>
            </w:r>
          </w:p>
          <w:p>
            <w:pPr>
              <w:adjustRightInd w:val="0"/>
              <w:snapToGrid w:val="0"/>
              <w:spacing w:line="276" w:lineRule="auto"/>
              <w:rPr>
                <w:rFonts w:ascii="宋体" w:hAnsi="宋体"/>
                <w:szCs w:val="21"/>
              </w:rPr>
            </w:pPr>
          </w:p>
          <w:p>
            <w:pPr>
              <w:adjustRightInd w:val="0"/>
              <w:snapToGrid w:val="0"/>
              <w:spacing w:line="276" w:lineRule="auto"/>
              <w:rPr>
                <w:rFonts w:ascii="宋体" w:hAnsi="宋体"/>
                <w:szCs w:val="21"/>
              </w:rPr>
            </w:pPr>
            <w:r>
              <w:rPr>
                <w:rFonts w:hint="eastAsia" w:ascii="宋体" w:hAnsi="宋体"/>
                <w:szCs w:val="21"/>
              </w:rPr>
              <w:t>提供《配置管理计划》</w:t>
            </w:r>
          </w:p>
          <w:p>
            <w:pPr>
              <w:adjustRightInd w:val="0"/>
              <w:snapToGrid w:val="0"/>
              <w:spacing w:line="276" w:lineRule="auto"/>
              <w:rPr>
                <w:rFonts w:ascii="宋体" w:hAnsi="宋体"/>
                <w:szCs w:val="21"/>
              </w:rPr>
            </w:pPr>
            <w:r>
              <w:rPr>
                <w:rFonts w:hint="eastAsia" w:ascii="宋体" w:hAnsi="宋体"/>
                <w:szCs w:val="21"/>
              </w:rPr>
              <w:t>对人员职责、软硬件资源、配置项和基线计划、配置库结构及权限设置、备份计划等进行了规定，配置管理计划较合理，满足要求。</w:t>
            </w:r>
          </w:p>
          <w:p>
            <w:pPr>
              <w:adjustRightInd w:val="0"/>
              <w:snapToGrid w:val="0"/>
              <w:spacing w:line="276" w:lineRule="auto"/>
              <w:rPr>
                <w:rFonts w:ascii="宋体" w:hAnsi="宋体"/>
                <w:szCs w:val="21"/>
              </w:rPr>
            </w:pPr>
            <w:r>
              <w:rPr>
                <w:rFonts w:hint="eastAsia" w:ascii="宋体" w:hAnsi="宋体"/>
                <w:szCs w:val="21"/>
              </w:rPr>
              <w:t>另抽查需求分析、概要设计、详细设计、功能规范等文档，按策划要求编制</w:t>
            </w:r>
          </w:p>
        </w:tc>
        <w:tc>
          <w:tcPr>
            <w:tcW w:w="1585" w:type="dxa"/>
          </w:tcPr>
          <w:p>
            <w:pPr>
              <w:spacing w:line="276"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宋体" w:hAnsi="宋体"/>
                <w:szCs w:val="21"/>
              </w:rPr>
            </w:pPr>
            <w:r>
              <w:rPr>
                <w:rFonts w:hint="eastAsia" w:ascii="宋体" w:hAnsi="宋体"/>
                <w:szCs w:val="21"/>
              </w:rPr>
              <w:t>标识和可追溯性</w:t>
            </w:r>
          </w:p>
        </w:tc>
        <w:tc>
          <w:tcPr>
            <w:tcW w:w="960" w:type="dxa"/>
            <w:vAlign w:val="center"/>
          </w:tcPr>
          <w:p>
            <w:pPr>
              <w:spacing w:line="276" w:lineRule="auto"/>
              <w:rPr>
                <w:rFonts w:ascii="宋体" w:hAnsi="宋体"/>
                <w:szCs w:val="21"/>
              </w:rPr>
            </w:pPr>
            <w:r>
              <w:rPr>
                <w:rFonts w:ascii="宋体" w:hAnsi="宋体"/>
                <w:szCs w:val="21"/>
              </w:rPr>
              <w:t>8.5.2</w:t>
            </w:r>
          </w:p>
        </w:tc>
        <w:tc>
          <w:tcPr>
            <w:tcW w:w="10004" w:type="dxa"/>
            <w:vAlign w:val="center"/>
          </w:tcPr>
          <w:p>
            <w:pPr>
              <w:adjustRightInd w:val="0"/>
              <w:snapToGrid w:val="0"/>
              <w:spacing w:line="276" w:lineRule="auto"/>
              <w:rPr>
                <w:rFonts w:ascii="宋体" w:hAnsi="宋体"/>
                <w:szCs w:val="21"/>
              </w:rPr>
            </w:pPr>
            <w:r>
              <w:rPr>
                <w:rFonts w:hint="eastAsia" w:ascii="宋体" w:hAnsi="宋体"/>
                <w:szCs w:val="21"/>
              </w:rPr>
              <w:t>1、标识：公司在《软件开发作业指导书》《配置管理计划》中规定软件开发产品标识的方式，状态标识：完成/测试中/未完成   产品标识：公司名称、用例名称、作者、版本号等。</w:t>
            </w:r>
          </w:p>
          <w:p>
            <w:pPr>
              <w:adjustRightInd w:val="0"/>
              <w:snapToGrid w:val="0"/>
              <w:spacing w:line="276" w:lineRule="auto"/>
              <w:rPr>
                <w:rFonts w:ascii="宋体" w:hAnsi="宋体"/>
                <w:szCs w:val="21"/>
              </w:rPr>
            </w:pPr>
            <w:r>
              <w:rPr>
                <w:rFonts w:hint="eastAsia" w:ascii="宋体" w:hAnsi="宋体"/>
                <w:szCs w:val="21"/>
              </w:rPr>
              <w:t>标识满足策划要求。</w:t>
            </w:r>
          </w:p>
          <w:p>
            <w:pPr>
              <w:adjustRightInd w:val="0"/>
              <w:snapToGrid w:val="0"/>
              <w:spacing w:line="276" w:lineRule="auto"/>
              <w:rPr>
                <w:rFonts w:ascii="宋体" w:hAnsi="宋体"/>
                <w:szCs w:val="21"/>
              </w:rPr>
            </w:pPr>
            <w:r>
              <w:rPr>
                <w:rFonts w:hint="eastAsia" w:ascii="宋体" w:hAnsi="宋体"/>
                <w:szCs w:val="21"/>
              </w:rPr>
              <w:t>2、可追溯性：软件开发报告→软件开发记录→软件开发方案→合同/协议</w:t>
            </w:r>
          </w:p>
          <w:p>
            <w:pPr>
              <w:adjustRightInd w:val="0"/>
              <w:snapToGrid w:val="0"/>
              <w:spacing w:line="276" w:lineRule="auto"/>
              <w:rPr>
                <w:rFonts w:ascii="宋体" w:hAnsi="宋体"/>
                <w:szCs w:val="21"/>
              </w:rPr>
            </w:pPr>
            <w:r>
              <w:rPr>
                <w:rFonts w:hint="eastAsia" w:ascii="宋体" w:hAnsi="宋体"/>
                <w:szCs w:val="21"/>
              </w:rPr>
              <w:t>可满足追溯要求。</w:t>
            </w:r>
          </w:p>
          <w:p>
            <w:pPr>
              <w:spacing w:line="276" w:lineRule="auto"/>
              <w:rPr>
                <w:rFonts w:ascii="宋体" w:hAnsi="宋体"/>
                <w:szCs w:val="21"/>
              </w:rPr>
            </w:pPr>
            <w:r>
              <w:rPr>
                <w:rFonts w:hint="eastAsia" w:ascii="宋体" w:hAnsi="宋体"/>
                <w:szCs w:val="21"/>
              </w:rPr>
              <w:t>抽查成品标识：软件开发完成成果用光盘存储；纸质文件封面有公司名称、版本、保密等字样。</w:t>
            </w:r>
          </w:p>
        </w:tc>
        <w:tc>
          <w:tcPr>
            <w:tcW w:w="1585" w:type="dxa"/>
          </w:tcPr>
          <w:p>
            <w:pPr>
              <w:spacing w:line="276"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宋体" w:hAnsi="宋体"/>
                <w:szCs w:val="21"/>
              </w:rPr>
            </w:pPr>
            <w:r>
              <w:rPr>
                <w:rFonts w:hint="eastAsia" w:ascii="宋体" w:hAnsi="宋体"/>
                <w:szCs w:val="21"/>
              </w:rPr>
              <w:t>顾客或外部供方的财产</w:t>
            </w:r>
          </w:p>
        </w:tc>
        <w:tc>
          <w:tcPr>
            <w:tcW w:w="960" w:type="dxa"/>
            <w:vAlign w:val="center"/>
          </w:tcPr>
          <w:p>
            <w:pPr>
              <w:spacing w:line="276" w:lineRule="auto"/>
              <w:rPr>
                <w:rFonts w:ascii="宋体" w:hAnsi="宋体"/>
                <w:szCs w:val="21"/>
              </w:rPr>
            </w:pPr>
            <w:r>
              <w:rPr>
                <w:rFonts w:ascii="宋体" w:hAnsi="宋体"/>
                <w:szCs w:val="21"/>
              </w:rPr>
              <w:t>8.5.3</w:t>
            </w:r>
          </w:p>
        </w:tc>
        <w:tc>
          <w:tcPr>
            <w:tcW w:w="10004" w:type="dxa"/>
            <w:vAlign w:val="center"/>
          </w:tcPr>
          <w:p>
            <w:pPr>
              <w:adjustRightInd w:val="0"/>
              <w:snapToGrid w:val="0"/>
              <w:spacing w:line="276" w:lineRule="auto"/>
              <w:rPr>
                <w:rFonts w:ascii="宋体" w:hAnsi="宋体"/>
                <w:szCs w:val="21"/>
              </w:rPr>
            </w:pPr>
            <w:r>
              <w:rPr>
                <w:rFonts w:hint="eastAsia" w:ascii="宋体" w:hAnsi="宋体"/>
                <w:szCs w:val="21"/>
              </w:rPr>
              <w:t>公司的顾客或外部供方的财产主要是客户信息及客户的软件开发任务要求等，如有丢失、损坏或不适用的情况发生，应由使用部门及时记录在《顾客财产问题记录表》中，与顾客协商解决。自体系运行以来尚无顾客财产问题记录。</w:t>
            </w:r>
          </w:p>
        </w:tc>
        <w:tc>
          <w:tcPr>
            <w:tcW w:w="1585" w:type="dxa"/>
          </w:tcPr>
          <w:p>
            <w:pPr>
              <w:spacing w:line="276"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宋体" w:hAnsi="宋体"/>
                <w:szCs w:val="21"/>
              </w:rPr>
            </w:pPr>
            <w:r>
              <w:rPr>
                <w:rFonts w:hint="eastAsia" w:ascii="宋体" w:hAnsi="宋体"/>
                <w:szCs w:val="21"/>
              </w:rPr>
              <w:t>产品防护</w:t>
            </w:r>
          </w:p>
        </w:tc>
        <w:tc>
          <w:tcPr>
            <w:tcW w:w="960" w:type="dxa"/>
            <w:vAlign w:val="center"/>
          </w:tcPr>
          <w:p>
            <w:pPr>
              <w:spacing w:line="276" w:lineRule="auto"/>
              <w:rPr>
                <w:rFonts w:ascii="宋体" w:hAnsi="宋体"/>
                <w:szCs w:val="21"/>
              </w:rPr>
            </w:pPr>
            <w:r>
              <w:rPr>
                <w:rFonts w:ascii="宋体" w:hAnsi="宋体"/>
                <w:szCs w:val="21"/>
              </w:rPr>
              <w:t>8.5.4</w:t>
            </w:r>
          </w:p>
        </w:tc>
        <w:tc>
          <w:tcPr>
            <w:tcW w:w="10004" w:type="dxa"/>
            <w:vAlign w:val="center"/>
          </w:tcPr>
          <w:p>
            <w:pPr>
              <w:adjustRightInd w:val="0"/>
              <w:snapToGrid w:val="0"/>
              <w:spacing w:line="276" w:lineRule="auto"/>
              <w:rPr>
                <w:rFonts w:ascii="宋体" w:hAnsi="宋体"/>
                <w:szCs w:val="21"/>
              </w:rPr>
            </w:pPr>
            <w:r>
              <w:rPr>
                <w:rFonts w:hint="eastAsia" w:ascii="宋体" w:hAnsi="宋体"/>
                <w:szCs w:val="21"/>
              </w:rPr>
              <w:t>公司的每个软件开发项目均制定专门的《管理计划》作为项目实施方案的附件，定期对用例及脚本进行阶段备份，内部局域网进行定期杀毒，测试用例及脚本进行加密管理.</w:t>
            </w:r>
          </w:p>
          <w:p>
            <w:pPr>
              <w:adjustRightInd w:val="0"/>
              <w:snapToGrid w:val="0"/>
              <w:spacing w:line="276" w:lineRule="auto"/>
              <w:rPr>
                <w:rFonts w:ascii="宋体" w:hAnsi="宋体"/>
                <w:szCs w:val="21"/>
              </w:rPr>
            </w:pPr>
            <w:r>
              <w:rPr>
                <w:rFonts w:hint="eastAsia" w:ascii="宋体" w:hAnsi="宋体"/>
                <w:szCs w:val="21"/>
              </w:rPr>
              <w:t>技术部有专人主管《数据代码库》，以此实现安全防护的目的。</w:t>
            </w:r>
          </w:p>
        </w:tc>
        <w:tc>
          <w:tcPr>
            <w:tcW w:w="1585" w:type="dxa"/>
          </w:tcPr>
          <w:p>
            <w:pPr>
              <w:spacing w:line="276"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宋体" w:hAnsi="宋体"/>
                <w:szCs w:val="21"/>
              </w:rPr>
            </w:pPr>
            <w:r>
              <w:rPr>
                <w:rFonts w:hint="eastAsia" w:ascii="宋体" w:hAnsi="宋体"/>
                <w:szCs w:val="21"/>
              </w:rPr>
              <w:t>交付后的活动</w:t>
            </w:r>
          </w:p>
        </w:tc>
        <w:tc>
          <w:tcPr>
            <w:tcW w:w="960" w:type="dxa"/>
            <w:vAlign w:val="center"/>
          </w:tcPr>
          <w:p>
            <w:pPr>
              <w:spacing w:line="276" w:lineRule="auto"/>
              <w:rPr>
                <w:rFonts w:ascii="宋体" w:hAnsi="宋体"/>
                <w:szCs w:val="21"/>
              </w:rPr>
            </w:pPr>
            <w:r>
              <w:rPr>
                <w:rFonts w:ascii="宋体" w:hAnsi="宋体"/>
                <w:szCs w:val="21"/>
              </w:rPr>
              <w:t>8.5.5</w:t>
            </w:r>
          </w:p>
        </w:tc>
        <w:tc>
          <w:tcPr>
            <w:tcW w:w="10004" w:type="dxa"/>
            <w:vAlign w:val="center"/>
          </w:tcPr>
          <w:p>
            <w:pPr>
              <w:adjustRightInd w:val="0"/>
              <w:snapToGrid w:val="0"/>
              <w:spacing w:line="276" w:lineRule="auto"/>
              <w:rPr>
                <w:rFonts w:ascii="宋体" w:hAnsi="宋体"/>
                <w:szCs w:val="21"/>
              </w:rPr>
            </w:pPr>
            <w:r>
              <w:rPr>
                <w:rFonts w:hint="eastAsia" w:ascii="宋体" w:hAnsi="宋体"/>
                <w:szCs w:val="21"/>
              </w:rPr>
              <w:t>交付后的活动：服务交付后的活动主要是售后服务，项目交付后，按照签订的售后服务协议书实施售后服务，公司做出了售后服务承诺，明确有电话技术支持、技术热线、投诉电话等内容。通过电话、网络等方式与客户交流沟通，了解顾客意见及建议。并将获得信息及时反馈到相关部门进行处理。自上次审核以来尚未发生软件测试服务导致的客户反馈及投诉情况。</w:t>
            </w:r>
          </w:p>
        </w:tc>
        <w:tc>
          <w:tcPr>
            <w:tcW w:w="1585" w:type="dxa"/>
          </w:tcPr>
          <w:p>
            <w:pPr>
              <w:spacing w:line="276"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宋体" w:hAnsi="宋体"/>
                <w:szCs w:val="21"/>
              </w:rPr>
            </w:pPr>
            <w:r>
              <w:rPr>
                <w:rFonts w:hint="eastAsia" w:ascii="宋体" w:hAnsi="宋体"/>
                <w:szCs w:val="21"/>
              </w:rPr>
              <w:t>更改控制</w:t>
            </w:r>
          </w:p>
        </w:tc>
        <w:tc>
          <w:tcPr>
            <w:tcW w:w="960" w:type="dxa"/>
            <w:vAlign w:val="center"/>
          </w:tcPr>
          <w:p>
            <w:pPr>
              <w:spacing w:line="276" w:lineRule="auto"/>
              <w:rPr>
                <w:rFonts w:ascii="宋体" w:hAnsi="宋体"/>
                <w:szCs w:val="21"/>
              </w:rPr>
            </w:pPr>
            <w:r>
              <w:rPr>
                <w:rFonts w:hint="eastAsia" w:ascii="宋体" w:hAnsi="宋体"/>
                <w:szCs w:val="21"/>
              </w:rPr>
              <w:t>8.5.6</w:t>
            </w:r>
          </w:p>
        </w:tc>
        <w:tc>
          <w:tcPr>
            <w:tcW w:w="10004" w:type="dxa"/>
            <w:vAlign w:val="center"/>
          </w:tcPr>
          <w:p>
            <w:pPr>
              <w:adjustRightInd w:val="0"/>
              <w:snapToGrid w:val="0"/>
              <w:spacing w:line="276" w:lineRule="auto"/>
              <w:rPr>
                <w:rFonts w:ascii="宋体" w:hAnsi="宋体"/>
                <w:szCs w:val="21"/>
              </w:rPr>
            </w:pPr>
            <w:r>
              <w:rPr>
                <w:rFonts w:hint="eastAsia" w:ascii="宋体" w:hAnsi="宋体"/>
                <w:szCs w:val="21"/>
              </w:rPr>
              <w:t>设计开发过程中的更改详见8.3记录</w:t>
            </w:r>
          </w:p>
        </w:tc>
        <w:tc>
          <w:tcPr>
            <w:tcW w:w="1585" w:type="dxa"/>
          </w:tcPr>
          <w:p>
            <w:pPr>
              <w:spacing w:line="276"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宋体" w:hAnsi="宋体"/>
                <w:szCs w:val="21"/>
              </w:rPr>
            </w:pPr>
            <w:r>
              <w:rPr>
                <w:rFonts w:hint="eastAsia" w:ascii="宋体" w:hAnsi="宋体"/>
                <w:szCs w:val="21"/>
              </w:rPr>
              <w:t>产品和服务的放行</w:t>
            </w:r>
          </w:p>
        </w:tc>
        <w:tc>
          <w:tcPr>
            <w:tcW w:w="960" w:type="dxa"/>
            <w:vAlign w:val="center"/>
          </w:tcPr>
          <w:p>
            <w:pPr>
              <w:spacing w:line="276" w:lineRule="auto"/>
              <w:rPr>
                <w:rFonts w:ascii="宋体" w:hAnsi="宋体"/>
                <w:szCs w:val="21"/>
              </w:rPr>
            </w:pPr>
            <w:r>
              <w:rPr>
                <w:rFonts w:hint="eastAsia" w:ascii="宋体" w:hAnsi="宋体"/>
                <w:szCs w:val="21"/>
              </w:rPr>
              <w:t>8.6</w:t>
            </w:r>
          </w:p>
        </w:tc>
        <w:tc>
          <w:tcPr>
            <w:tcW w:w="10004" w:type="dxa"/>
            <w:vAlign w:val="center"/>
          </w:tcPr>
          <w:p>
            <w:pPr>
              <w:adjustRightInd w:val="0"/>
              <w:snapToGrid w:val="0"/>
              <w:spacing w:line="276" w:lineRule="auto"/>
              <w:rPr>
                <w:rFonts w:ascii="宋体" w:hAnsi="宋体"/>
                <w:szCs w:val="21"/>
              </w:rPr>
            </w:pPr>
            <w:r>
              <w:rPr>
                <w:rFonts w:hint="eastAsia" w:ascii="宋体" w:hAnsi="宋体"/>
                <w:szCs w:val="21"/>
              </w:rPr>
              <w:t>公司按照“产品和服务的设计和开发”要求控制研发过程。软件开发主要通过软件测试和用户试用方式进行监视和测量</w:t>
            </w:r>
          </w:p>
          <w:p>
            <w:pPr>
              <w:adjustRightInd w:val="0"/>
              <w:snapToGrid w:val="0"/>
              <w:spacing w:line="276" w:lineRule="auto"/>
              <w:rPr>
                <w:rFonts w:ascii="宋体" w:hAnsi="宋体"/>
                <w:szCs w:val="21"/>
              </w:rPr>
            </w:pPr>
            <w:r>
              <w:rPr>
                <w:rFonts w:hint="eastAsia" w:ascii="宋体" w:hAnsi="宋体"/>
                <w:szCs w:val="21"/>
              </w:rPr>
              <w:t>抽软件项目：开放平台软件安全系统项目</w:t>
            </w:r>
          </w:p>
          <w:p>
            <w:pPr>
              <w:adjustRightInd w:val="0"/>
              <w:snapToGrid w:val="0"/>
              <w:spacing w:line="276" w:lineRule="auto"/>
              <w:rPr>
                <w:rFonts w:ascii="宋体" w:hAnsi="宋体"/>
                <w:szCs w:val="21"/>
              </w:rPr>
            </w:pPr>
          </w:p>
          <w:p>
            <w:pPr>
              <w:adjustRightInd w:val="0"/>
              <w:snapToGrid w:val="0"/>
              <w:spacing w:line="276" w:lineRule="auto"/>
              <w:rPr>
                <w:rFonts w:hint="eastAsia" w:ascii="宋体" w:hAnsi="宋体"/>
                <w:szCs w:val="21"/>
              </w:rPr>
            </w:pPr>
            <w:r>
              <w:rPr>
                <w:rFonts w:hint="eastAsia" w:ascii="宋体" w:hAnsi="宋体"/>
                <w:szCs w:val="21"/>
              </w:rPr>
              <w:t>抽代码记录：</w:t>
            </w:r>
          </w:p>
          <w:p>
            <w:pPr>
              <w:pStyle w:val="2"/>
              <w:rPr>
                <w:rFonts w:hint="eastAsia" w:eastAsia="宋体"/>
                <w:lang w:eastAsia="zh-CN"/>
              </w:rPr>
            </w:pPr>
            <w:r>
              <w:rPr>
                <w:rFonts w:hint="eastAsia" w:eastAsia="宋体"/>
                <w:lang w:eastAsia="zh-CN"/>
              </w:rPr>
              <w:drawing>
                <wp:inline distT="0" distB="0" distL="114300" distR="114300">
                  <wp:extent cx="4429125" cy="2428240"/>
                  <wp:effectExtent l="0" t="0" r="3175" b="10160"/>
                  <wp:docPr id="3" name="图片 3" descr="df00f73d5361d5c0c59ccd41ba54d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f00f73d5361d5c0c59ccd41ba54d9b"/>
                          <pic:cNvPicPr>
                            <a:picLocks noChangeAspect="1"/>
                          </pic:cNvPicPr>
                        </pic:nvPicPr>
                        <pic:blipFill>
                          <a:blip r:embed="rId7"/>
                          <a:stretch>
                            <a:fillRect/>
                          </a:stretch>
                        </pic:blipFill>
                        <pic:spPr>
                          <a:xfrm>
                            <a:off x="0" y="0"/>
                            <a:ext cx="4429125" cy="2428240"/>
                          </a:xfrm>
                          <a:prstGeom prst="rect">
                            <a:avLst/>
                          </a:prstGeom>
                        </pic:spPr>
                      </pic:pic>
                    </a:graphicData>
                  </a:graphic>
                </wp:inline>
              </w:drawing>
            </w:r>
          </w:p>
          <w:p>
            <w:pPr>
              <w:adjustRightInd w:val="0"/>
              <w:snapToGrid w:val="0"/>
              <w:spacing w:line="276" w:lineRule="auto"/>
              <w:rPr>
                <w:rFonts w:ascii="宋体" w:hAnsi="宋体"/>
                <w:szCs w:val="21"/>
              </w:rPr>
            </w:pPr>
            <w:r>
              <w:rPr>
                <w:rFonts w:hint="eastAsia" w:ascii="宋体" w:hAnsi="宋体"/>
                <w:szCs w:val="21"/>
              </w:rPr>
              <w:t>源代码均保存完好，符合要求。</w:t>
            </w:r>
          </w:p>
          <w:p>
            <w:pPr>
              <w:adjustRightInd w:val="0"/>
              <w:snapToGrid w:val="0"/>
              <w:spacing w:line="276" w:lineRule="auto"/>
              <w:rPr>
                <w:rFonts w:ascii="宋体" w:hAnsi="宋体"/>
                <w:szCs w:val="21"/>
              </w:rPr>
            </w:pPr>
          </w:p>
          <w:p>
            <w:pPr>
              <w:adjustRightInd w:val="0"/>
              <w:snapToGrid w:val="0"/>
              <w:spacing w:line="276" w:lineRule="auto"/>
              <w:rPr>
                <w:rFonts w:hint="default" w:ascii="宋体" w:hAnsi="宋体" w:eastAsia="宋体"/>
                <w:szCs w:val="21"/>
                <w:lang w:val="en-US" w:eastAsia="zh-CN"/>
              </w:rPr>
            </w:pPr>
            <w:r>
              <w:rPr>
                <w:rFonts w:hint="eastAsia" w:ascii="宋体" w:hAnsi="宋体"/>
                <w:szCs w:val="21"/>
              </w:rPr>
              <w:t>抽Hula2.0</w:t>
            </w:r>
            <w:r>
              <w:rPr>
                <w:rFonts w:hint="eastAsia" w:ascii="宋体" w:hAnsi="宋体"/>
                <w:szCs w:val="21"/>
                <w:lang w:val="en-US" w:eastAsia="zh-CN"/>
              </w:rPr>
              <w:t>线上测试数据</w:t>
            </w:r>
          </w:p>
          <w:p>
            <w:pPr>
              <w:adjustRightInd w:val="0"/>
              <w:snapToGrid w:val="0"/>
              <w:spacing w:line="276" w:lineRule="auto"/>
              <w:rPr>
                <w:rFonts w:hint="default" w:ascii="宋体" w:hAnsi="宋体" w:eastAsia="宋体"/>
                <w:szCs w:val="21"/>
                <w:lang w:val="en-US" w:eastAsia="zh-CN"/>
              </w:rPr>
            </w:pPr>
            <w:r>
              <w:rPr>
                <w:rFonts w:hint="eastAsia" w:ascii="宋体" w:hAnsi="宋体"/>
                <w:szCs w:val="21"/>
                <w:lang w:val="en-US" w:eastAsia="zh-CN"/>
              </w:rPr>
              <w:t>产出与消耗数据</w:t>
            </w:r>
          </w:p>
          <w:p>
            <w:pPr>
              <w:pStyle w:val="2"/>
              <w:rPr>
                <w:rFonts w:ascii="宋体" w:hAnsi="宋体"/>
                <w:szCs w:val="21"/>
              </w:rPr>
            </w:pPr>
            <w:r>
              <w:drawing>
                <wp:inline distT="0" distB="0" distL="114300" distR="114300">
                  <wp:extent cx="2042160" cy="1075055"/>
                  <wp:effectExtent l="5080" t="4445" r="10160" b="12700"/>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drawing>
                <wp:inline distT="0" distB="0" distL="114300" distR="114300">
                  <wp:extent cx="1450340" cy="1042670"/>
                  <wp:effectExtent l="4445" t="4445" r="5715" b="6985"/>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2"/>
              <w:rPr>
                <w:rFonts w:hint="default" w:ascii="宋体" w:hAnsi="宋体" w:eastAsia="宋体"/>
                <w:szCs w:val="21"/>
                <w:lang w:val="en-US" w:eastAsia="zh-CN"/>
              </w:rPr>
            </w:pPr>
            <w:r>
              <w:rPr>
                <w:rFonts w:hint="eastAsia" w:ascii="宋体" w:hAnsi="宋体"/>
                <w:szCs w:val="21"/>
                <w:lang w:val="en-US" w:eastAsia="zh-CN"/>
              </w:rPr>
              <w:t>游戏行为监测：</w:t>
            </w:r>
          </w:p>
          <w:p>
            <w:pPr>
              <w:pStyle w:val="2"/>
              <w:rPr>
                <w:rFonts w:ascii="宋体" w:hAnsi="宋体"/>
                <w:szCs w:val="21"/>
              </w:rPr>
            </w:pPr>
            <w:r>
              <w:drawing>
                <wp:inline distT="0" distB="0" distL="114300" distR="114300">
                  <wp:extent cx="1993265" cy="1419225"/>
                  <wp:effectExtent l="4445" t="4445" r="8890" b="11430"/>
                  <wp:docPr id="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drawing>
                <wp:inline distT="0" distB="0" distL="114300" distR="114300">
                  <wp:extent cx="2228215" cy="1443355"/>
                  <wp:effectExtent l="4445" t="4445" r="15240" b="12700"/>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2"/>
              <w:rPr>
                <w:rFonts w:ascii="宋体" w:hAnsi="宋体"/>
                <w:szCs w:val="21"/>
              </w:rPr>
            </w:pPr>
          </w:p>
          <w:p>
            <w:pPr>
              <w:pStyle w:val="2"/>
              <w:rPr>
                <w:rFonts w:ascii="宋体" w:hAnsi="宋体"/>
                <w:szCs w:val="21"/>
              </w:rPr>
            </w:pPr>
            <w:r>
              <w:drawing>
                <wp:inline distT="0" distB="0" distL="114300" distR="114300">
                  <wp:extent cx="2151380" cy="1259840"/>
                  <wp:effectExtent l="4445" t="5080" r="15875" b="5080"/>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drawing>
                <wp:inline distT="0" distB="0" distL="114300" distR="114300">
                  <wp:extent cx="1925955" cy="1261110"/>
                  <wp:effectExtent l="4445" t="4445" r="12700" b="17145"/>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Style w:val="2"/>
              <w:rPr>
                <w:rFonts w:hint="eastAsia" w:ascii="宋体" w:hAnsi="宋体"/>
                <w:szCs w:val="21"/>
                <w:lang w:val="en-US" w:eastAsia="zh-CN"/>
              </w:rPr>
            </w:pPr>
            <w:r>
              <w:rPr>
                <w:rFonts w:hint="eastAsia" w:ascii="宋体" w:hAnsi="宋体"/>
                <w:szCs w:val="21"/>
                <w:lang w:val="en-US" w:eastAsia="zh-CN"/>
              </w:rPr>
              <w:t>平台行为检测：</w:t>
            </w:r>
          </w:p>
          <w:p>
            <w:pPr>
              <w:pStyle w:val="2"/>
              <w:rPr>
                <w:rFonts w:hint="default" w:ascii="宋体" w:hAnsi="宋体" w:eastAsia="宋体"/>
                <w:szCs w:val="21"/>
                <w:lang w:val="en-US" w:eastAsia="zh-CN"/>
              </w:rPr>
            </w:pPr>
            <w:r>
              <w:drawing>
                <wp:inline distT="0" distB="0" distL="114300" distR="114300">
                  <wp:extent cx="2629535" cy="1404620"/>
                  <wp:effectExtent l="4445" t="4445" r="7620" b="13335"/>
                  <wp:docPr id="9"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adjustRightInd w:val="0"/>
              <w:snapToGrid w:val="0"/>
              <w:spacing w:line="276" w:lineRule="auto"/>
              <w:rPr>
                <w:rFonts w:hint="eastAsia" w:ascii="宋体" w:hAnsi="宋体"/>
                <w:szCs w:val="21"/>
              </w:rPr>
            </w:pPr>
          </w:p>
          <w:p>
            <w:pPr>
              <w:adjustRightInd w:val="0"/>
              <w:snapToGrid w:val="0"/>
              <w:spacing w:line="276" w:lineRule="auto"/>
              <w:rPr>
                <w:rFonts w:hint="default" w:ascii="宋体" w:hAnsi="宋体" w:eastAsia="宋体"/>
                <w:szCs w:val="21"/>
                <w:lang w:val="en-US" w:eastAsia="zh-CN"/>
              </w:rPr>
            </w:pPr>
            <w:r>
              <w:rPr>
                <w:rFonts w:hint="eastAsia" w:ascii="宋体" w:hAnsi="宋体"/>
                <w:szCs w:val="21"/>
              </w:rPr>
              <w:t>项目名称：</w:t>
            </w:r>
            <w:r>
              <w:rPr>
                <w:rFonts w:hint="eastAsia" w:ascii="宋体" w:hAnsi="宋体"/>
                <w:szCs w:val="21"/>
                <w:lang w:val="en-US" w:eastAsia="zh-CN"/>
              </w:rPr>
              <w:t>特种频谱分析软件开发</w:t>
            </w:r>
          </w:p>
          <w:p>
            <w:pPr>
              <w:adjustRightInd w:val="0"/>
              <w:snapToGrid w:val="0"/>
              <w:spacing w:line="276" w:lineRule="auto"/>
              <w:rPr>
                <w:rFonts w:ascii="宋体" w:hAnsi="宋体"/>
                <w:szCs w:val="21"/>
              </w:rPr>
            </w:pPr>
            <w:r>
              <w:rPr>
                <w:rFonts w:hint="eastAsia" w:ascii="宋体" w:hAnsi="宋体"/>
                <w:szCs w:val="21"/>
              </w:rPr>
              <w:t>确认方式 ：</w:t>
            </w:r>
            <w:r>
              <w:rPr>
                <w:rFonts w:hint="eastAsia" w:ascii="宋体" w:hAnsi="宋体"/>
                <w:szCs w:val="21"/>
                <w:lang w:val="en-US" w:eastAsia="zh-CN"/>
              </w:rPr>
              <w:t>运行验收</w:t>
            </w:r>
            <w:r>
              <w:rPr>
                <w:rFonts w:hint="eastAsia" w:ascii="宋体" w:hAnsi="宋体"/>
                <w:szCs w:val="21"/>
              </w:rPr>
              <w:t>的方式进行确认</w:t>
            </w:r>
          </w:p>
          <w:p>
            <w:pPr>
              <w:adjustRightInd w:val="0"/>
              <w:snapToGrid w:val="0"/>
              <w:spacing w:line="276" w:lineRule="auto"/>
              <w:rPr>
                <w:rFonts w:ascii="宋体" w:hAnsi="宋体"/>
                <w:szCs w:val="21"/>
              </w:rPr>
            </w:pPr>
            <w:r>
              <w:drawing>
                <wp:inline distT="0" distB="0" distL="114300" distR="114300">
                  <wp:extent cx="2921000" cy="2019300"/>
                  <wp:effectExtent l="0" t="0" r="0" b="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6"/>
                          <a:stretch>
                            <a:fillRect/>
                          </a:stretch>
                        </pic:blipFill>
                        <pic:spPr>
                          <a:xfrm>
                            <a:off x="0" y="0"/>
                            <a:ext cx="2921000" cy="2019300"/>
                          </a:xfrm>
                          <a:prstGeom prst="rect">
                            <a:avLst/>
                          </a:prstGeom>
                          <a:noFill/>
                          <a:ln>
                            <a:noFill/>
                          </a:ln>
                        </pic:spPr>
                      </pic:pic>
                    </a:graphicData>
                  </a:graphic>
                </wp:inline>
              </w:drawing>
            </w:r>
          </w:p>
          <w:p>
            <w:pPr>
              <w:adjustRightInd w:val="0"/>
              <w:snapToGrid w:val="0"/>
              <w:spacing w:line="276" w:lineRule="auto"/>
              <w:rPr>
                <w:rFonts w:ascii="宋体" w:hAnsi="宋体"/>
                <w:szCs w:val="21"/>
              </w:rPr>
            </w:pPr>
            <w:r>
              <w:rPr>
                <w:rFonts w:hint="eastAsia" w:ascii="宋体" w:hAnsi="宋体"/>
                <w:szCs w:val="21"/>
              </w:rPr>
              <w:t>设计开发过程受控</w:t>
            </w:r>
          </w:p>
        </w:tc>
        <w:tc>
          <w:tcPr>
            <w:tcW w:w="1585" w:type="dxa"/>
          </w:tcPr>
          <w:p>
            <w:pPr>
              <w:spacing w:line="276"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宋体" w:hAnsi="宋体"/>
                <w:szCs w:val="21"/>
              </w:rPr>
            </w:pPr>
            <w:r>
              <w:rPr>
                <w:rFonts w:hint="eastAsia" w:ascii="宋体" w:hAnsi="宋体"/>
                <w:szCs w:val="21"/>
              </w:rPr>
              <w:t>不合格输出的控制</w:t>
            </w:r>
          </w:p>
          <w:p>
            <w:pPr>
              <w:spacing w:line="276" w:lineRule="auto"/>
              <w:rPr>
                <w:rFonts w:ascii="宋体" w:hAnsi="宋体"/>
                <w:szCs w:val="21"/>
              </w:rPr>
            </w:pPr>
            <w:r>
              <w:rPr>
                <w:rFonts w:hint="eastAsia" w:ascii="宋体" w:hAnsi="宋体"/>
                <w:szCs w:val="21"/>
              </w:rPr>
              <w:t>不合格和纠正措施</w:t>
            </w:r>
          </w:p>
        </w:tc>
        <w:tc>
          <w:tcPr>
            <w:tcW w:w="960" w:type="dxa"/>
            <w:vAlign w:val="center"/>
          </w:tcPr>
          <w:p>
            <w:pPr>
              <w:spacing w:line="276" w:lineRule="auto"/>
              <w:rPr>
                <w:rFonts w:ascii="宋体" w:hAnsi="宋体"/>
                <w:szCs w:val="21"/>
              </w:rPr>
            </w:pPr>
            <w:r>
              <w:rPr>
                <w:rFonts w:ascii="宋体" w:hAnsi="宋体"/>
                <w:szCs w:val="21"/>
              </w:rPr>
              <w:t>8.7</w:t>
            </w:r>
          </w:p>
          <w:p>
            <w:pPr>
              <w:spacing w:line="276" w:lineRule="auto"/>
              <w:rPr>
                <w:rFonts w:ascii="宋体" w:hAnsi="宋体"/>
                <w:szCs w:val="21"/>
              </w:rPr>
            </w:pPr>
            <w:r>
              <w:rPr>
                <w:rFonts w:ascii="宋体" w:hAnsi="宋体"/>
                <w:szCs w:val="21"/>
              </w:rPr>
              <w:t>10.2</w:t>
            </w:r>
          </w:p>
        </w:tc>
        <w:tc>
          <w:tcPr>
            <w:tcW w:w="10004" w:type="dxa"/>
            <w:vAlign w:val="center"/>
          </w:tcPr>
          <w:p>
            <w:pPr>
              <w:adjustRightInd w:val="0"/>
              <w:snapToGrid w:val="0"/>
              <w:spacing w:line="276" w:lineRule="auto"/>
              <w:rPr>
                <w:rFonts w:ascii="宋体" w:hAnsi="宋体"/>
                <w:szCs w:val="21"/>
              </w:rPr>
            </w:pPr>
            <w:r>
              <w:rPr>
                <w:rFonts w:hint="eastAsia" w:ascii="宋体" w:hAnsi="宋体"/>
                <w:szCs w:val="21"/>
              </w:rPr>
              <w:t>查有《不合格输出控制程序》，对不合格输出进行识别和控制，防止不合格输出的非预期使用或交付。</w:t>
            </w:r>
          </w:p>
          <w:p>
            <w:pPr>
              <w:adjustRightInd w:val="0"/>
              <w:snapToGrid w:val="0"/>
              <w:spacing w:line="276" w:lineRule="auto"/>
              <w:rPr>
                <w:rFonts w:ascii="宋体" w:hAnsi="宋体"/>
                <w:szCs w:val="21"/>
              </w:rPr>
            </w:pPr>
            <w:r>
              <w:rPr>
                <w:rFonts w:hint="eastAsia" w:ascii="宋体" w:hAnsi="宋体"/>
                <w:szCs w:val="21"/>
              </w:rPr>
              <w:t>询问部门负责人称目前没有不合格的非预期使用情况。未发生投诉所引起的不合格。</w:t>
            </w:r>
          </w:p>
          <w:p>
            <w:pPr>
              <w:adjustRightInd w:val="0"/>
              <w:snapToGrid w:val="0"/>
              <w:spacing w:line="276" w:lineRule="auto"/>
              <w:rPr>
                <w:rFonts w:ascii="宋体" w:hAnsi="宋体"/>
                <w:szCs w:val="21"/>
              </w:rPr>
            </w:pPr>
            <w:r>
              <w:rPr>
                <w:rFonts w:hint="eastAsia" w:ascii="宋体" w:hAnsi="宋体"/>
                <w:szCs w:val="21"/>
              </w:rPr>
              <w:t>查《不合格处理记录》</w:t>
            </w:r>
          </w:p>
          <w:p>
            <w:pPr>
              <w:adjustRightInd w:val="0"/>
              <w:snapToGrid w:val="0"/>
              <w:spacing w:line="276" w:lineRule="auto"/>
              <w:rPr>
                <w:rFonts w:hint="default" w:ascii="宋体" w:hAnsi="宋体" w:eastAsia="宋体"/>
                <w:szCs w:val="21"/>
                <w:lang w:val="en-US" w:eastAsia="zh-CN"/>
              </w:rPr>
            </w:pPr>
            <w:r>
              <w:rPr>
                <w:rFonts w:hint="eastAsia" w:ascii="宋体" w:hAnsi="宋体"/>
                <w:szCs w:val="21"/>
              </w:rPr>
              <w:t>不合格内容：</w:t>
            </w:r>
            <w:r>
              <w:rPr>
                <w:rFonts w:hint="eastAsia" w:ascii="宋体" w:hAnsi="宋体"/>
                <w:szCs w:val="21"/>
                <w:lang w:val="en-US" w:eastAsia="zh-CN"/>
              </w:rPr>
              <w:t>好友界面、国家界面，经过操作后，回到最上界面体验出错</w:t>
            </w:r>
          </w:p>
          <w:p>
            <w:pPr>
              <w:adjustRightInd w:val="0"/>
              <w:snapToGrid w:val="0"/>
              <w:spacing w:line="276" w:lineRule="auto"/>
              <w:rPr>
                <w:rFonts w:hint="default" w:ascii="宋体" w:hAnsi="宋体" w:eastAsia="宋体"/>
                <w:szCs w:val="21"/>
                <w:lang w:val="en-US" w:eastAsia="zh-CN"/>
              </w:rPr>
            </w:pPr>
            <w:r>
              <w:rPr>
                <w:rFonts w:hint="eastAsia" w:ascii="宋体" w:hAnsi="宋体"/>
                <w:szCs w:val="21"/>
              </w:rPr>
              <w:t>原因：</w:t>
            </w:r>
            <w:r>
              <w:rPr>
                <w:rFonts w:hint="eastAsia" w:ascii="宋体" w:hAnsi="宋体"/>
                <w:szCs w:val="21"/>
                <w:lang w:val="en-US" w:eastAsia="zh-CN"/>
              </w:rPr>
              <w:t>bug未处理好</w:t>
            </w:r>
          </w:p>
          <w:p>
            <w:pPr>
              <w:adjustRightInd w:val="0"/>
              <w:snapToGrid w:val="0"/>
              <w:spacing w:line="276" w:lineRule="auto"/>
              <w:rPr>
                <w:rFonts w:ascii="宋体" w:hAnsi="宋体"/>
                <w:szCs w:val="21"/>
              </w:rPr>
            </w:pPr>
            <w:r>
              <w:rPr>
                <w:rFonts w:hint="eastAsia" w:ascii="宋体" w:hAnsi="宋体"/>
                <w:szCs w:val="21"/>
              </w:rPr>
              <w:t>处置方式：</w:t>
            </w:r>
            <w:r>
              <w:rPr>
                <w:rFonts w:hint="eastAsia" w:ascii="宋体" w:hAnsi="宋体"/>
                <w:szCs w:val="21"/>
                <w:lang w:val="en-US" w:eastAsia="zh-CN"/>
              </w:rPr>
              <w:t>检查bug，并处理</w:t>
            </w:r>
            <w:r>
              <w:rPr>
                <w:rFonts w:hint="eastAsia" w:ascii="宋体" w:hAnsi="宋体"/>
                <w:szCs w:val="21"/>
              </w:rPr>
              <w:t xml:space="preserve">。 </w:t>
            </w:r>
          </w:p>
          <w:p>
            <w:pPr>
              <w:adjustRightInd w:val="0"/>
              <w:snapToGrid w:val="0"/>
              <w:spacing w:line="276" w:lineRule="auto"/>
              <w:rPr>
                <w:rFonts w:ascii="宋体" w:hAnsi="宋体"/>
                <w:szCs w:val="21"/>
              </w:rPr>
            </w:pPr>
            <w:r>
              <w:rPr>
                <w:rFonts w:hint="eastAsia" w:ascii="宋体" w:hAnsi="宋体"/>
                <w:szCs w:val="21"/>
              </w:rPr>
              <w:t>处置结果：提交的问题已解决，合格。</w:t>
            </w:r>
          </w:p>
          <w:p>
            <w:pPr>
              <w:adjustRightInd w:val="0"/>
              <w:snapToGrid w:val="0"/>
              <w:spacing w:line="276" w:lineRule="auto"/>
              <w:rPr>
                <w:rFonts w:ascii="宋体" w:hAnsi="宋体"/>
                <w:szCs w:val="21"/>
              </w:rPr>
            </w:pPr>
            <w:r>
              <w:rPr>
                <w:rFonts w:hint="eastAsia" w:ascii="宋体" w:hAnsi="宋体"/>
                <w:szCs w:val="21"/>
              </w:rPr>
              <w:t>验证：  刘XX    日期：20</w:t>
            </w:r>
            <w:r>
              <w:rPr>
                <w:rFonts w:hint="eastAsia" w:ascii="宋体" w:hAnsi="宋体"/>
                <w:szCs w:val="21"/>
                <w:lang w:val="en-US" w:eastAsia="zh-CN"/>
              </w:rPr>
              <w:t>20</w:t>
            </w:r>
            <w:r>
              <w:rPr>
                <w:rFonts w:hint="eastAsia" w:ascii="宋体" w:hAnsi="宋体"/>
                <w:szCs w:val="21"/>
              </w:rPr>
              <w:t>.8.</w:t>
            </w:r>
            <w:r>
              <w:rPr>
                <w:rFonts w:hint="eastAsia" w:ascii="宋体" w:hAnsi="宋体"/>
                <w:szCs w:val="21"/>
                <w:lang w:val="en-US" w:eastAsia="zh-CN"/>
              </w:rPr>
              <w:t>8</w:t>
            </w:r>
            <w:r>
              <w:rPr>
                <w:rFonts w:hint="eastAsia" w:ascii="宋体" w:hAnsi="宋体"/>
                <w:szCs w:val="21"/>
              </w:rPr>
              <w:t>。</w:t>
            </w:r>
          </w:p>
          <w:p>
            <w:pPr>
              <w:adjustRightInd w:val="0"/>
              <w:snapToGrid w:val="0"/>
              <w:spacing w:line="276" w:lineRule="auto"/>
              <w:rPr>
                <w:rFonts w:ascii="宋体" w:hAnsi="宋体"/>
                <w:szCs w:val="21"/>
              </w:rPr>
            </w:pPr>
          </w:p>
          <w:p>
            <w:pPr>
              <w:adjustRightInd w:val="0"/>
              <w:snapToGrid w:val="0"/>
              <w:spacing w:line="276" w:lineRule="auto"/>
              <w:rPr>
                <w:rFonts w:ascii="宋体" w:hAnsi="宋体"/>
                <w:szCs w:val="21"/>
              </w:rPr>
            </w:pPr>
            <w:r>
              <w:rPr>
                <w:rFonts w:hint="eastAsia" w:ascii="宋体" w:hAnsi="宋体"/>
                <w:szCs w:val="21"/>
              </w:rPr>
              <w:t>针对内审中发现的不合格，采取了纠正措施，并进行验证合格。询问部门负责人称服务过程中未发现严重不合格或同类不合格屡次发生情况，因此未采取纠正措施。</w:t>
            </w:r>
          </w:p>
        </w:tc>
        <w:tc>
          <w:tcPr>
            <w:tcW w:w="1585" w:type="dxa"/>
          </w:tcPr>
          <w:p>
            <w:pPr>
              <w:spacing w:line="276" w:lineRule="auto"/>
              <w:rPr>
                <w:rFonts w:ascii="宋体" w:hAnsi="宋体"/>
                <w:szCs w:val="21"/>
              </w:rPr>
            </w:pPr>
          </w:p>
        </w:tc>
      </w:tr>
    </w:tbl>
    <w:p>
      <w:pPr>
        <w:pStyle w:val="5"/>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 w:name="Arial">
    <w:panose1 w:val="020B0604020202020204"/>
    <w:charset w:val="00"/>
    <w:family w:val=""/>
    <w:pitch w:val="default"/>
    <w:sig w:usb0="E0002EFF" w:usb1="C000785B" w:usb2="00000009" w:usb3="00000000" w:csb0="400001FF" w:csb1="FFFF0000"/>
  </w:font>
  <w:font w:name="微软雅黑 Light">
    <w:panose1 w:val="020B0502040204020203"/>
    <w:charset w:val="86"/>
    <w:family w:val="auto"/>
    <w:pitch w:val="default"/>
    <w:sig w:usb0="80000287" w:usb1="2ACF0010" w:usb2="00000016" w:usb3="00000000" w:csb0="0004001F" w:csb1="00000000"/>
  </w:font>
  <w:font w:name="Lucida Sans">
    <w:panose1 w:val="020B0602030504020204"/>
    <w:charset w:val="00"/>
    <w:family w:val="swiss"/>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2"/>
        <w:rFonts w:hint="default"/>
      </w:rPr>
      <w:t xml:space="preserve">        </w:t>
    </w:r>
    <w:r>
      <w:rPr>
        <w:rStyle w:val="12"/>
        <w:rFonts w:hint="default"/>
        <w:w w:val="90"/>
      </w:rPr>
      <w:t>Beijing International Standard united Certification Co.,Ltd.</w:t>
    </w:r>
    <w:r>
      <w:rPr>
        <w:rStyle w:val="12"/>
        <w:rFonts w:hint="default"/>
        <w:w w:val="90"/>
        <w:szCs w:val="21"/>
      </w:rPr>
      <w:t xml:space="preserve">  </w:t>
    </w:r>
    <w:r>
      <w:rPr>
        <w:rStyle w:val="12"/>
        <w:rFonts w:hint="default"/>
        <w:w w:val="90"/>
        <w:sz w:val="20"/>
      </w:rPr>
      <w:t xml:space="preserve"> </w:t>
    </w:r>
    <w:r>
      <w:rPr>
        <w:rStyle w:val="12"/>
        <w:rFonts w:hint="default"/>
        <w:w w:val="90"/>
      </w:rPr>
      <w:t xml:space="preserve">                   </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6ADCA1"/>
    <w:multiLevelType w:val="singleLevel"/>
    <w:tmpl w:val="DF6ADCA1"/>
    <w:lvl w:ilvl="0" w:tentative="0">
      <w:start w:val="2"/>
      <w:numFmt w:val="decimal"/>
      <w:lvlText w:val="%1."/>
      <w:lvlJc w:val="left"/>
      <w:pPr>
        <w:tabs>
          <w:tab w:val="left" w:pos="312"/>
        </w:tabs>
      </w:pPr>
    </w:lvl>
  </w:abstractNum>
  <w:abstractNum w:abstractNumId="1">
    <w:nsid w:val="0EC54974"/>
    <w:multiLevelType w:val="singleLevel"/>
    <w:tmpl w:val="0EC54974"/>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2C508A7"/>
    <w:rsid w:val="0DE66026"/>
    <w:rsid w:val="0DFA5149"/>
    <w:rsid w:val="10F2183B"/>
    <w:rsid w:val="137D6C3D"/>
    <w:rsid w:val="148958BC"/>
    <w:rsid w:val="183D6AE4"/>
    <w:rsid w:val="219D2466"/>
    <w:rsid w:val="258E204F"/>
    <w:rsid w:val="2B6A480D"/>
    <w:rsid w:val="2FB6432B"/>
    <w:rsid w:val="305D2FD3"/>
    <w:rsid w:val="32CB48D8"/>
    <w:rsid w:val="35604EB5"/>
    <w:rsid w:val="38E26C97"/>
    <w:rsid w:val="39C82EE0"/>
    <w:rsid w:val="40211AE2"/>
    <w:rsid w:val="40DC7E79"/>
    <w:rsid w:val="490E20F8"/>
    <w:rsid w:val="4C2E35CC"/>
    <w:rsid w:val="4FEF7CDA"/>
    <w:rsid w:val="59C57F77"/>
    <w:rsid w:val="5C5849FC"/>
    <w:rsid w:val="5D307C1F"/>
    <w:rsid w:val="5DC34DFD"/>
    <w:rsid w:val="65765B85"/>
    <w:rsid w:val="686B100C"/>
    <w:rsid w:val="73234881"/>
    <w:rsid w:val="783960DE"/>
    <w:rsid w:val="7A42781A"/>
    <w:rsid w:val="7B7B4DC1"/>
    <w:rsid w:val="7C5E10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Lucida Sans" w:hAnsi="Lucida Sans"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Plain Text"/>
    <w:basedOn w:val="1"/>
    <w:unhideWhenUsed/>
    <w:uiPriority w:val="0"/>
    <w:rPr>
      <w:rFonts w:ascii="宋体" w:hAnsi="Courier New" w:cs="Courier New"/>
      <w:kern w:val="0"/>
      <w:sz w:val="20"/>
      <w:szCs w:val="21"/>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uiPriority w:val="99"/>
    <w:rPr>
      <w:rFonts w:ascii="Times New Roman" w:hAnsi="Times New Roman" w:eastAsia="宋体" w:cs="Times New Roman"/>
      <w:sz w:val="18"/>
      <w:szCs w:val="18"/>
    </w:rPr>
  </w:style>
  <w:style w:type="character" w:customStyle="1" w:styleId="10">
    <w:name w:val="页脚 字符"/>
    <w:basedOn w:val="8"/>
    <w:link w:val="5"/>
    <w:uiPriority w:val="99"/>
    <w:rPr>
      <w:rFonts w:ascii="Times New Roman" w:hAnsi="Times New Roman" w:eastAsia="宋体" w:cs="Times New Roman"/>
      <w:sz w:val="18"/>
      <w:szCs w:val="18"/>
    </w:rPr>
  </w:style>
  <w:style w:type="character" w:customStyle="1" w:styleId="11">
    <w:name w:val="批注框文本 字符"/>
    <w:basedOn w:val="8"/>
    <w:link w:val="4"/>
    <w:semiHidden/>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styleId="13">
    <w:name w:val="List Paragraph"/>
    <w:basedOn w:val="1"/>
    <w:qFormat/>
    <w:uiPriority w:val="34"/>
    <w:pPr>
      <w:ind w:firstLine="420" w:firstLineChars="200"/>
    </w:pPr>
    <w:rPr>
      <w:szCs w:val="24"/>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cer\Desktop\&#23457;&#26680;&#26696;&#21367;\&#21271;&#20140;&#20013;&#36719;&#26234;&#25511;&#20449;&#24687;&#25216;&#26415;&#26377;&#38480;&#20844;&#21496;\&#32447;&#19978;&#27979;&#35797;&#25968;&#25454;.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cer\Desktop\&#23457;&#26680;&#26696;&#21367;\&#21271;&#20140;&#20013;&#36719;&#26234;&#25511;&#20449;&#24687;&#25216;&#26415;&#26377;&#38480;&#20844;&#21496;\&#32447;&#19978;&#27979;&#35797;&#25968;&#25454;.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cer\Desktop\&#23457;&#26680;&#26696;&#21367;\&#21271;&#20140;&#20013;&#36719;&#26234;&#25511;&#20449;&#24687;&#25216;&#26415;&#26377;&#38480;&#20844;&#21496;\&#32447;&#19978;&#27979;&#35797;&#25968;&#25454;.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cer\Desktop\&#23457;&#26680;&#26696;&#21367;\&#21271;&#20140;&#20013;&#36719;&#26234;&#25511;&#20449;&#24687;&#25216;&#26415;&#26377;&#38480;&#20844;&#21496;\&#32447;&#19978;&#27979;&#35797;&#25968;&#25454;.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cer\Desktop\&#23457;&#26680;&#26696;&#21367;\&#21271;&#20140;&#20013;&#36719;&#26234;&#25511;&#20449;&#24687;&#25216;&#26415;&#26377;&#38480;&#20844;&#21496;\&#32447;&#19978;&#27979;&#35797;&#25968;&#25454;.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acer\Desktop\&#23457;&#26680;&#26696;&#21367;\&#21271;&#20140;&#20013;&#36719;&#26234;&#25511;&#20449;&#24687;&#25216;&#26415;&#26377;&#38480;&#20844;&#21496;\&#32447;&#19978;&#27979;&#35797;&#25968;&#25454;.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cer\Desktop\&#23457;&#26680;&#26696;&#21367;\&#21271;&#20140;&#20013;&#36719;&#26234;&#25511;&#20449;&#24687;&#25216;&#26415;&#26377;&#38480;&#20844;&#21496;\&#32447;&#19978;&#27979;&#35797;&#25968;&#2545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金币获取</a:t>
            </a:r>
            <a:endParaRPr lang="zh-CN" altLang="en-US"/>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[线上测试数据.xlsx]产出与消耗数据!$B$4:$B$13</c:f>
              <c:strCache>
                <c:ptCount val="10"/>
                <c:pt idx="0">
                  <c:v>视频奖励</c:v>
                </c:pt>
                <c:pt idx="1">
                  <c:v>每日登陆</c:v>
                </c:pt>
                <c:pt idx="2">
                  <c:v>任务奖励：</c:v>
                </c:pt>
                <c:pt idx="3">
                  <c:v>商店充值：</c:v>
                </c:pt>
                <c:pt idx="4">
                  <c:v>dice对战赢取：</c:v>
                </c:pt>
                <c:pt idx="5">
                  <c:v>dice刮卡：</c:v>
                </c:pt>
                <c:pt idx="6">
                  <c:v>ludo对战赢取：</c:v>
                </c:pt>
                <c:pt idx="7">
                  <c:v>baloot对战赢取：</c:v>
                </c:pt>
                <c:pt idx="8">
                  <c:v>draw房间结算：</c:v>
                </c:pt>
                <c:pt idx="9">
                  <c:v>卧底房间结算：</c:v>
                </c:pt>
              </c:strCache>
            </c:strRef>
          </c:cat>
          <c:val>
            <c:numRef>
              <c:f>[线上测试数据.xlsx]产出与消耗数据!$C$4:$C$13</c:f>
              <c:numCache>
                <c:formatCode>General</c:formatCode>
                <c:ptCount val="10"/>
                <c:pt idx="0">
                  <c:v>176250</c:v>
                </c:pt>
                <c:pt idx="1">
                  <c:v>4375500</c:v>
                </c:pt>
                <c:pt idx="2">
                  <c:v>627850</c:v>
                </c:pt>
                <c:pt idx="3">
                  <c:v>98000</c:v>
                </c:pt>
                <c:pt idx="4">
                  <c:v>4232400</c:v>
                </c:pt>
                <c:pt idx="5">
                  <c:v>830700</c:v>
                </c:pt>
                <c:pt idx="6">
                  <c:v>26275500</c:v>
                </c:pt>
                <c:pt idx="7">
                  <c:v>988000</c:v>
                </c:pt>
                <c:pt idx="8">
                  <c:v>3000</c:v>
                </c:pt>
                <c:pt idx="9">
                  <c:v>0</c:v>
                </c:pt>
              </c:numCache>
            </c:numRef>
          </c:val>
        </c:ser>
        <c:ser>
          <c:idx val="1"/>
          <c:order val="1"/>
          <c:spPr>
            <a:solidFill>
              <a:schemeClr val="accent2"/>
            </a:solidFill>
            <a:ln>
              <a:noFill/>
            </a:ln>
            <a:effectLst/>
          </c:spPr>
          <c:invertIfNegative val="0"/>
          <c:dLbls>
            <c:delete val="1"/>
          </c:dLbls>
          <c:cat>
            <c:strRef>
              <c:f>[线上测试数据.xlsx]产出与消耗数据!$B$4:$B$13</c:f>
              <c:strCache>
                <c:ptCount val="10"/>
                <c:pt idx="0">
                  <c:v>视频奖励</c:v>
                </c:pt>
                <c:pt idx="1">
                  <c:v>每日登陆</c:v>
                </c:pt>
                <c:pt idx="2">
                  <c:v>任务奖励：</c:v>
                </c:pt>
                <c:pt idx="3">
                  <c:v>商店充值：</c:v>
                </c:pt>
                <c:pt idx="4">
                  <c:v>dice对战赢取：</c:v>
                </c:pt>
                <c:pt idx="5">
                  <c:v>dice刮卡：</c:v>
                </c:pt>
                <c:pt idx="6">
                  <c:v>ludo对战赢取：</c:v>
                </c:pt>
                <c:pt idx="7">
                  <c:v>baloot对战赢取：</c:v>
                </c:pt>
                <c:pt idx="8">
                  <c:v>draw房间结算：</c:v>
                </c:pt>
                <c:pt idx="9">
                  <c:v>卧底房间结算：</c:v>
                </c:pt>
              </c:strCache>
            </c:strRef>
          </c:cat>
          <c:val>
            <c:numRef>
              <c:f>[线上测试数据.xlsx]产出与消耗数据!$D$4:$D$13</c:f>
              <c:numCache>
                <c:formatCode>General</c:formatCode>
                <c:ptCount val="10"/>
              </c:numCache>
            </c:numRef>
          </c:val>
        </c:ser>
        <c:dLbls>
          <c:showLegendKey val="0"/>
          <c:showVal val="0"/>
          <c:showCatName val="0"/>
          <c:showSerName val="0"/>
          <c:showPercent val="0"/>
          <c:showBubbleSize val="0"/>
        </c:dLbls>
        <c:gapWidth val="219"/>
        <c:overlap val="-27"/>
        <c:axId val="739018024"/>
        <c:axId val="739018416"/>
      </c:barChart>
      <c:catAx>
        <c:axId val="739018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9018416"/>
        <c:crosses val="autoZero"/>
        <c:auto val="1"/>
        <c:lblAlgn val="ctr"/>
        <c:lblOffset val="100"/>
        <c:noMultiLvlLbl val="0"/>
      </c:catAx>
      <c:valAx>
        <c:axId val="739018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90180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金币消耗</a:t>
            </a:r>
            <a:endParaRPr lang="zh-CN" altLang="en-US"/>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[线上测试数据.xlsx]产出与消耗数据!$B$16:$B$30</c:f>
              <c:strCache>
                <c:ptCount val="15"/>
                <c:pt idx="0">
                  <c:v>语音房送礼：</c:v>
                </c:pt>
                <c:pt idx="1">
                  <c:v>广场送礼：</c:v>
                </c:pt>
                <c:pt idx="2">
                  <c:v>聊天界面送礼：</c:v>
                </c:pt>
                <c:pt idx="3">
                  <c:v>dice送礼：</c:v>
                </c:pt>
                <c:pt idx="4">
                  <c:v>ludo送礼：</c:v>
                </c:pt>
                <c:pt idx="5">
                  <c:v>balote送礼：</c:v>
                </c:pt>
                <c:pt idx="6">
                  <c:v>draw送礼：</c:v>
                </c:pt>
                <c:pt idx="7">
                  <c:v>spy送礼：</c:v>
                </c:pt>
                <c:pt idx="8">
                  <c:v>dicePVP房间扣除：</c:v>
                </c:pt>
                <c:pt idx="9">
                  <c:v>dice好友挑战：</c:v>
                </c:pt>
                <c:pt idx="10">
                  <c:v>dice副本挑战花费：</c:v>
                </c:pt>
                <c:pt idx="11">
                  <c:v>dice商城购买：</c:v>
                </c:pt>
                <c:pt idx="12">
                  <c:v>ludo房间扣除：</c:v>
                </c:pt>
                <c:pt idx="13">
                  <c:v>baloot房间扣除：</c:v>
                </c:pt>
                <c:pt idx="14">
                  <c:v>baloot竞标赛报名费：</c:v>
                </c:pt>
              </c:strCache>
            </c:strRef>
          </c:cat>
          <c:val>
            <c:numRef>
              <c:f>[线上测试数据.xlsx]产出与消耗数据!$C$16:$C$30</c:f>
              <c:numCache>
                <c:formatCode>General</c:formatCode>
                <c:ptCount val="15"/>
                <c:pt idx="0">
                  <c:v>15050</c:v>
                </c:pt>
                <c:pt idx="1">
                  <c:v>0</c:v>
                </c:pt>
                <c:pt idx="2">
                  <c:v>4500</c:v>
                </c:pt>
                <c:pt idx="3">
                  <c:v>0</c:v>
                </c:pt>
                <c:pt idx="4">
                  <c:v>7500</c:v>
                </c:pt>
                <c:pt idx="5">
                  <c:v>0</c:v>
                </c:pt>
                <c:pt idx="6">
                  <c:v>0</c:v>
                </c:pt>
                <c:pt idx="7">
                  <c:v>0</c:v>
                </c:pt>
                <c:pt idx="8">
                  <c:v>1050</c:v>
                </c:pt>
                <c:pt idx="9">
                  <c:v>0</c:v>
                </c:pt>
                <c:pt idx="10">
                  <c:v>1000</c:v>
                </c:pt>
                <c:pt idx="11">
                  <c:v>0</c:v>
                </c:pt>
                <c:pt idx="12">
                  <c:v>0</c:v>
                </c:pt>
                <c:pt idx="13">
                  <c:v>0</c:v>
                </c:pt>
                <c:pt idx="14">
                  <c:v>0</c:v>
                </c:pt>
              </c:numCache>
            </c:numRef>
          </c:val>
        </c:ser>
        <c:ser>
          <c:idx val="1"/>
          <c:order val="1"/>
          <c:spPr>
            <a:solidFill>
              <a:schemeClr val="accent2"/>
            </a:solidFill>
            <a:ln>
              <a:noFill/>
            </a:ln>
            <a:effectLst/>
          </c:spPr>
          <c:invertIfNegative val="0"/>
          <c:dLbls>
            <c:delete val="1"/>
          </c:dLbls>
          <c:cat>
            <c:strRef>
              <c:f>[线上测试数据.xlsx]产出与消耗数据!$B$16:$B$30</c:f>
              <c:strCache>
                <c:ptCount val="15"/>
                <c:pt idx="0">
                  <c:v>语音房送礼：</c:v>
                </c:pt>
                <c:pt idx="1">
                  <c:v>广场送礼：</c:v>
                </c:pt>
                <c:pt idx="2">
                  <c:v>聊天界面送礼：</c:v>
                </c:pt>
                <c:pt idx="3">
                  <c:v>dice送礼：</c:v>
                </c:pt>
                <c:pt idx="4">
                  <c:v>ludo送礼：</c:v>
                </c:pt>
                <c:pt idx="5">
                  <c:v>balote送礼：</c:v>
                </c:pt>
                <c:pt idx="6">
                  <c:v>draw送礼：</c:v>
                </c:pt>
                <c:pt idx="7">
                  <c:v>spy送礼：</c:v>
                </c:pt>
                <c:pt idx="8">
                  <c:v>dicePVP房间扣除：</c:v>
                </c:pt>
                <c:pt idx="9">
                  <c:v>dice好友挑战：</c:v>
                </c:pt>
                <c:pt idx="10">
                  <c:v>dice副本挑战花费：</c:v>
                </c:pt>
                <c:pt idx="11">
                  <c:v>dice商城购买：</c:v>
                </c:pt>
                <c:pt idx="12">
                  <c:v>ludo房间扣除：</c:v>
                </c:pt>
                <c:pt idx="13">
                  <c:v>baloot房间扣除：</c:v>
                </c:pt>
                <c:pt idx="14">
                  <c:v>baloot竞标赛报名费：</c:v>
                </c:pt>
              </c:strCache>
            </c:strRef>
          </c:cat>
          <c:val>
            <c:numRef>
              <c:f>[线上测试数据.xlsx]产出与消耗数据!$D$16:$D$30</c:f>
              <c:numCache>
                <c:formatCode>General</c:formatCode>
                <c:ptCount val="15"/>
                <c:pt idx="0">
                  <c:v>3670450</c:v>
                </c:pt>
                <c:pt idx="1">
                  <c:v>238500</c:v>
                </c:pt>
                <c:pt idx="2">
                  <c:v>394500</c:v>
                </c:pt>
                <c:pt idx="3">
                  <c:v>65600</c:v>
                </c:pt>
                <c:pt idx="4">
                  <c:v>82650</c:v>
                </c:pt>
                <c:pt idx="5">
                  <c:v>24050</c:v>
                </c:pt>
                <c:pt idx="6">
                  <c:v>83650</c:v>
                </c:pt>
                <c:pt idx="7">
                  <c:v>0</c:v>
                </c:pt>
                <c:pt idx="8">
                  <c:v>3529450</c:v>
                </c:pt>
                <c:pt idx="9">
                  <c:v>2600</c:v>
                </c:pt>
                <c:pt idx="10">
                  <c:v>1285000</c:v>
                </c:pt>
                <c:pt idx="11">
                  <c:v>3515000</c:v>
                </c:pt>
                <c:pt idx="12">
                  <c:v>24983000</c:v>
                </c:pt>
                <c:pt idx="13">
                  <c:v>838500</c:v>
                </c:pt>
                <c:pt idx="14">
                  <c:v>18000</c:v>
                </c:pt>
              </c:numCache>
            </c:numRef>
          </c:val>
        </c:ser>
        <c:dLbls>
          <c:showLegendKey val="0"/>
          <c:showVal val="0"/>
          <c:showCatName val="0"/>
          <c:showSerName val="0"/>
          <c:showPercent val="0"/>
          <c:showBubbleSize val="0"/>
        </c:dLbls>
        <c:gapWidth val="219"/>
        <c:overlap val="-27"/>
        <c:axId val="739019200"/>
        <c:axId val="739019592"/>
      </c:barChart>
      <c:catAx>
        <c:axId val="739019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9019592"/>
        <c:crosses val="autoZero"/>
        <c:auto val="1"/>
        <c:lblAlgn val="ctr"/>
        <c:lblOffset val="100"/>
        <c:noMultiLvlLbl val="0"/>
      </c:catAx>
      <c:valAx>
        <c:axId val="739019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90192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u="sng"/>
              <a:t>Ludo</a:t>
            </a:r>
            <a:r>
              <a:rPr lang="zh-CN" altLang="en-US" u="sng"/>
              <a:t>局数</a:t>
            </a:r>
            <a:endParaRPr lang="en-US" altLang="zh-CN" u="sng"/>
          </a:p>
        </c:rich>
      </c:tx>
      <c:layout/>
      <c:overlay val="0"/>
      <c:spPr>
        <a:noFill/>
        <a:ln>
          <a:noFill/>
        </a:ln>
        <a:effectLst/>
      </c:spPr>
    </c:title>
    <c:autoTitleDeleted val="0"/>
    <c:plotArea>
      <c:layout>
        <c:manualLayout>
          <c:layoutTarget val="inner"/>
          <c:xMode val="edge"/>
          <c:yMode val="edge"/>
          <c:x val="0.0806290080628556"/>
          <c:y val="0.028125704819217"/>
          <c:w val="0.890196850393701"/>
          <c:h val="0.609845435987168"/>
        </c:manualLayout>
      </c:layout>
      <c:lineChart>
        <c:grouping val="stacked"/>
        <c:varyColors val="0"/>
        <c:ser>
          <c:idx val="0"/>
          <c:order val="0"/>
          <c:tx>
            <c:strRef>
              <c:f>[线上测试数据.xlsx]游戏行为监测!$C$24</c:f>
              <c:strCache>
                <c:ptCount val="1"/>
                <c:pt idx="0">
                  <c:v>ludo1v1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elete val="1"/>
          </c:dLbls>
          <c:cat>
            <c:strRef>
              <c:f>[线上测试数据.xlsx]游戏行为监测!$D$23:$J$23</c:f>
              <c:strCache>
                <c:ptCount val="7"/>
                <c:pt idx="0">
                  <c:v>22日</c:v>
                </c:pt>
                <c:pt idx="1">
                  <c:v>23日</c:v>
                </c:pt>
                <c:pt idx="2">
                  <c:v>24日</c:v>
                </c:pt>
                <c:pt idx="3">
                  <c:v>25日</c:v>
                </c:pt>
                <c:pt idx="4">
                  <c:v>26日</c:v>
                </c:pt>
                <c:pt idx="5">
                  <c:v>27日</c:v>
                </c:pt>
                <c:pt idx="6">
                  <c:v>28日</c:v>
                </c:pt>
              </c:strCache>
            </c:strRef>
          </c:cat>
          <c:val>
            <c:numRef>
              <c:f>[线上测试数据.xlsx]游戏行为监测!$D$24:$J$24</c:f>
              <c:numCache>
                <c:formatCode>General</c:formatCode>
                <c:ptCount val="7"/>
                <c:pt idx="0">
                  <c:v>660</c:v>
                </c:pt>
                <c:pt idx="1">
                  <c:v>674</c:v>
                </c:pt>
                <c:pt idx="2">
                  <c:v>766</c:v>
                </c:pt>
                <c:pt idx="3">
                  <c:v>718</c:v>
                </c:pt>
                <c:pt idx="4">
                  <c:v>572</c:v>
                </c:pt>
                <c:pt idx="5">
                  <c:v>600</c:v>
                </c:pt>
                <c:pt idx="6">
                  <c:v>685</c:v>
                </c:pt>
              </c:numCache>
            </c:numRef>
          </c:val>
          <c:smooth val="0"/>
        </c:ser>
        <c:ser>
          <c:idx val="1"/>
          <c:order val="1"/>
          <c:tx>
            <c:strRef>
              <c:f>[线上测试数据.xlsx]游戏行为监测!$C$25</c:f>
              <c:strCache>
                <c:ptCount val="1"/>
                <c:pt idx="0">
                  <c:v>ludo组队</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elete val="1"/>
          </c:dLbls>
          <c:cat>
            <c:strRef>
              <c:f>[线上测试数据.xlsx]游戏行为监测!$D$23:$J$23</c:f>
              <c:strCache>
                <c:ptCount val="7"/>
                <c:pt idx="0">
                  <c:v>22日</c:v>
                </c:pt>
                <c:pt idx="1">
                  <c:v>23日</c:v>
                </c:pt>
                <c:pt idx="2">
                  <c:v>24日</c:v>
                </c:pt>
                <c:pt idx="3">
                  <c:v>25日</c:v>
                </c:pt>
                <c:pt idx="4">
                  <c:v>26日</c:v>
                </c:pt>
                <c:pt idx="5">
                  <c:v>27日</c:v>
                </c:pt>
                <c:pt idx="6">
                  <c:v>28日</c:v>
                </c:pt>
              </c:strCache>
            </c:strRef>
          </c:cat>
          <c:val>
            <c:numRef>
              <c:f>[线上测试数据.xlsx]游戏行为监测!$D$25:$J$25</c:f>
              <c:numCache>
                <c:formatCode>General</c:formatCode>
                <c:ptCount val="7"/>
                <c:pt idx="0">
                  <c:v>42</c:v>
                </c:pt>
                <c:pt idx="1">
                  <c:v>50</c:v>
                </c:pt>
                <c:pt idx="2">
                  <c:v>48</c:v>
                </c:pt>
                <c:pt idx="3">
                  <c:v>52</c:v>
                </c:pt>
                <c:pt idx="4">
                  <c:v>48</c:v>
                </c:pt>
                <c:pt idx="5">
                  <c:v>39</c:v>
                </c:pt>
                <c:pt idx="6">
                  <c:v>39</c:v>
                </c:pt>
              </c:numCache>
            </c:numRef>
          </c:val>
          <c:smooth val="0"/>
        </c:ser>
        <c:ser>
          <c:idx val="2"/>
          <c:order val="2"/>
          <c:tx>
            <c:strRef>
              <c:f>[线上测试数据.xlsx]游戏行为监测!$C$26</c:f>
              <c:strCache>
                <c:ptCount val="1"/>
                <c:pt idx="0">
                  <c:v>4人</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elete val="1"/>
          </c:dLbls>
          <c:cat>
            <c:strRef>
              <c:f>[线上测试数据.xlsx]游戏行为监测!$D$23:$J$23</c:f>
              <c:strCache>
                <c:ptCount val="7"/>
                <c:pt idx="0">
                  <c:v>22日</c:v>
                </c:pt>
                <c:pt idx="1">
                  <c:v>23日</c:v>
                </c:pt>
                <c:pt idx="2">
                  <c:v>24日</c:v>
                </c:pt>
                <c:pt idx="3">
                  <c:v>25日</c:v>
                </c:pt>
                <c:pt idx="4">
                  <c:v>26日</c:v>
                </c:pt>
                <c:pt idx="5">
                  <c:v>27日</c:v>
                </c:pt>
                <c:pt idx="6">
                  <c:v>28日</c:v>
                </c:pt>
              </c:strCache>
            </c:strRef>
          </c:cat>
          <c:val>
            <c:numRef>
              <c:f>[线上测试数据.xlsx]游戏行为监测!$D$26:$J$26</c:f>
              <c:numCache>
                <c:formatCode>General</c:formatCode>
                <c:ptCount val="7"/>
                <c:pt idx="0">
                  <c:v>116</c:v>
                </c:pt>
                <c:pt idx="1">
                  <c:v>116</c:v>
                </c:pt>
                <c:pt idx="2">
                  <c:v>108</c:v>
                </c:pt>
                <c:pt idx="3">
                  <c:v>100</c:v>
                </c:pt>
                <c:pt idx="4">
                  <c:v>94</c:v>
                </c:pt>
                <c:pt idx="5">
                  <c:v>118</c:v>
                </c:pt>
                <c:pt idx="6">
                  <c:v>134</c:v>
                </c:pt>
              </c:numCache>
            </c:numRef>
          </c:val>
          <c:smooth val="0"/>
        </c:ser>
        <c:ser>
          <c:idx val="3"/>
          <c:order val="3"/>
          <c:tx>
            <c:strRef>
              <c:f>[线上测试数据.xlsx]游戏行为监测!$C$27</c:f>
              <c:strCache>
                <c:ptCount val="1"/>
                <c:pt idx="0">
                  <c:v>私房</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delete val="1"/>
          </c:dLbls>
          <c:cat>
            <c:strRef>
              <c:f>[线上测试数据.xlsx]游戏行为监测!$D$23:$J$23</c:f>
              <c:strCache>
                <c:ptCount val="7"/>
                <c:pt idx="0">
                  <c:v>22日</c:v>
                </c:pt>
                <c:pt idx="1">
                  <c:v>23日</c:v>
                </c:pt>
                <c:pt idx="2">
                  <c:v>24日</c:v>
                </c:pt>
                <c:pt idx="3">
                  <c:v>25日</c:v>
                </c:pt>
                <c:pt idx="4">
                  <c:v>26日</c:v>
                </c:pt>
                <c:pt idx="5">
                  <c:v>27日</c:v>
                </c:pt>
                <c:pt idx="6">
                  <c:v>28日</c:v>
                </c:pt>
              </c:strCache>
            </c:strRef>
          </c:cat>
          <c:val>
            <c:numRef>
              <c:f>[线上测试数据.xlsx]游戏行为监测!$D$27:$J$27</c:f>
              <c:numCache>
                <c:formatCode>General</c:formatCode>
                <c:ptCount val="7"/>
                <c:pt idx="0">
                  <c:v>51</c:v>
                </c:pt>
                <c:pt idx="1">
                  <c:v>73</c:v>
                </c:pt>
                <c:pt idx="2">
                  <c:v>47</c:v>
                </c:pt>
                <c:pt idx="3">
                  <c:v>54</c:v>
                </c:pt>
                <c:pt idx="4">
                  <c:v>49</c:v>
                </c:pt>
                <c:pt idx="5">
                  <c:v>47</c:v>
                </c:pt>
                <c:pt idx="6">
                  <c:v>47</c:v>
                </c:pt>
              </c:numCache>
            </c:numRef>
          </c:val>
          <c:smooth val="0"/>
        </c:ser>
        <c:dLbls>
          <c:showLegendKey val="0"/>
          <c:showVal val="0"/>
          <c:showCatName val="0"/>
          <c:showSerName val="0"/>
          <c:showPercent val="0"/>
          <c:showBubbleSize val="0"/>
        </c:dLbls>
        <c:marker val="1"/>
        <c:smooth val="0"/>
        <c:axId val="527233944"/>
        <c:axId val="527234336"/>
      </c:lineChart>
      <c:catAx>
        <c:axId val="527233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7234336"/>
        <c:crosses val="autoZero"/>
        <c:auto val="1"/>
        <c:lblAlgn val="ctr"/>
        <c:lblOffset val="100"/>
        <c:noMultiLvlLbl val="0"/>
      </c:catAx>
      <c:valAx>
        <c:axId val="527234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723394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Ludo</a:t>
            </a:r>
            <a:r>
              <a:rPr lang="zh-CN" altLang="en-US"/>
              <a:t>人数</a:t>
            </a:r>
            <a:endParaRPr lang="zh-CN" altLang="en-US"/>
          </a:p>
        </c:rich>
      </c:tx>
      <c:layout/>
      <c:overlay val="0"/>
      <c:spPr>
        <a:noFill/>
        <a:ln>
          <a:noFill/>
        </a:ln>
        <a:effectLst/>
      </c:spPr>
    </c:title>
    <c:autoTitleDeleted val="0"/>
    <c:plotArea>
      <c:layout/>
      <c:lineChart>
        <c:grouping val="standard"/>
        <c:varyColors val="0"/>
        <c:ser>
          <c:idx val="0"/>
          <c:order val="0"/>
          <c:tx>
            <c:strRef>
              <c:f>[线上测试数据.xlsx]游戏行为监测!$L$24</c:f>
              <c:strCache>
                <c:ptCount val="1"/>
                <c:pt idx="0">
                  <c:v>ludo1v1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elete val="1"/>
          </c:dLbls>
          <c:cat>
            <c:strRef>
              <c:f>[线上测试数据.xlsx]游戏行为监测!$M$23:$S$23</c:f>
              <c:strCache>
                <c:ptCount val="7"/>
                <c:pt idx="0">
                  <c:v>22日</c:v>
                </c:pt>
                <c:pt idx="1">
                  <c:v>23日</c:v>
                </c:pt>
                <c:pt idx="2">
                  <c:v>24日</c:v>
                </c:pt>
                <c:pt idx="3">
                  <c:v>25日</c:v>
                </c:pt>
                <c:pt idx="4">
                  <c:v>26日</c:v>
                </c:pt>
                <c:pt idx="5">
                  <c:v>27日</c:v>
                </c:pt>
                <c:pt idx="6">
                  <c:v>28日</c:v>
                </c:pt>
              </c:strCache>
            </c:strRef>
          </c:cat>
          <c:val>
            <c:numRef>
              <c:f>[线上测试数据.xlsx]游戏行为监测!$M$24:$S$24</c:f>
              <c:numCache>
                <c:formatCode>General</c:formatCode>
                <c:ptCount val="7"/>
                <c:pt idx="0">
                  <c:v>211</c:v>
                </c:pt>
                <c:pt idx="1">
                  <c:v>218</c:v>
                </c:pt>
                <c:pt idx="2">
                  <c:v>224</c:v>
                </c:pt>
                <c:pt idx="3">
                  <c:v>196</c:v>
                </c:pt>
                <c:pt idx="4">
                  <c:v>168</c:v>
                </c:pt>
                <c:pt idx="5">
                  <c:v>190</c:v>
                </c:pt>
                <c:pt idx="6">
                  <c:v>204</c:v>
                </c:pt>
              </c:numCache>
            </c:numRef>
          </c:val>
          <c:smooth val="0"/>
        </c:ser>
        <c:ser>
          <c:idx val="1"/>
          <c:order val="1"/>
          <c:tx>
            <c:strRef>
              <c:f>[线上测试数据.xlsx]游戏行为监测!$L$25</c:f>
              <c:strCache>
                <c:ptCount val="1"/>
                <c:pt idx="0">
                  <c:v>ludo组队</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elete val="1"/>
          </c:dLbls>
          <c:cat>
            <c:strRef>
              <c:f>[线上测试数据.xlsx]游戏行为监测!$M$23:$S$23</c:f>
              <c:strCache>
                <c:ptCount val="7"/>
                <c:pt idx="0">
                  <c:v>22日</c:v>
                </c:pt>
                <c:pt idx="1">
                  <c:v>23日</c:v>
                </c:pt>
                <c:pt idx="2">
                  <c:v>24日</c:v>
                </c:pt>
                <c:pt idx="3">
                  <c:v>25日</c:v>
                </c:pt>
                <c:pt idx="4">
                  <c:v>26日</c:v>
                </c:pt>
                <c:pt idx="5">
                  <c:v>27日</c:v>
                </c:pt>
                <c:pt idx="6">
                  <c:v>28日</c:v>
                </c:pt>
              </c:strCache>
            </c:strRef>
          </c:cat>
          <c:val>
            <c:numRef>
              <c:f>[线上测试数据.xlsx]游戏行为监测!$M$25:$S$25</c:f>
              <c:numCache>
                <c:formatCode>General</c:formatCode>
                <c:ptCount val="7"/>
                <c:pt idx="0">
                  <c:v>28</c:v>
                </c:pt>
                <c:pt idx="1">
                  <c:v>36</c:v>
                </c:pt>
                <c:pt idx="2">
                  <c:v>30</c:v>
                </c:pt>
                <c:pt idx="3">
                  <c:v>33</c:v>
                </c:pt>
                <c:pt idx="4">
                  <c:v>34</c:v>
                </c:pt>
                <c:pt idx="5">
                  <c:v>26</c:v>
                </c:pt>
                <c:pt idx="6">
                  <c:v>25</c:v>
                </c:pt>
              </c:numCache>
            </c:numRef>
          </c:val>
          <c:smooth val="0"/>
        </c:ser>
        <c:ser>
          <c:idx val="2"/>
          <c:order val="2"/>
          <c:tx>
            <c:strRef>
              <c:f>[线上测试数据.xlsx]游戏行为监测!$L$26</c:f>
              <c:strCache>
                <c:ptCount val="1"/>
                <c:pt idx="0">
                  <c:v>4人</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elete val="1"/>
          </c:dLbls>
          <c:cat>
            <c:strRef>
              <c:f>[线上测试数据.xlsx]游戏行为监测!$M$23:$S$23</c:f>
              <c:strCache>
                <c:ptCount val="7"/>
                <c:pt idx="0">
                  <c:v>22日</c:v>
                </c:pt>
                <c:pt idx="1">
                  <c:v>23日</c:v>
                </c:pt>
                <c:pt idx="2">
                  <c:v>24日</c:v>
                </c:pt>
                <c:pt idx="3">
                  <c:v>25日</c:v>
                </c:pt>
                <c:pt idx="4">
                  <c:v>26日</c:v>
                </c:pt>
                <c:pt idx="5">
                  <c:v>27日</c:v>
                </c:pt>
                <c:pt idx="6">
                  <c:v>28日</c:v>
                </c:pt>
              </c:strCache>
            </c:strRef>
          </c:cat>
          <c:val>
            <c:numRef>
              <c:f>[线上测试数据.xlsx]游戏行为监测!$M$26:$S$26</c:f>
              <c:numCache>
                <c:formatCode>General</c:formatCode>
                <c:ptCount val="7"/>
                <c:pt idx="0">
                  <c:v>69</c:v>
                </c:pt>
                <c:pt idx="1">
                  <c:v>73</c:v>
                </c:pt>
                <c:pt idx="2">
                  <c:v>71</c:v>
                </c:pt>
                <c:pt idx="3">
                  <c:v>60</c:v>
                </c:pt>
                <c:pt idx="4">
                  <c:v>62</c:v>
                </c:pt>
                <c:pt idx="5">
                  <c:v>74</c:v>
                </c:pt>
                <c:pt idx="6">
                  <c:v>75</c:v>
                </c:pt>
              </c:numCache>
            </c:numRef>
          </c:val>
          <c:smooth val="0"/>
        </c:ser>
        <c:ser>
          <c:idx val="3"/>
          <c:order val="3"/>
          <c:tx>
            <c:strRef>
              <c:f>[线上测试数据.xlsx]游戏行为监测!$L$27</c:f>
              <c:strCache>
                <c:ptCount val="1"/>
                <c:pt idx="0">
                  <c:v>私房</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delete val="1"/>
          </c:dLbls>
          <c:cat>
            <c:strRef>
              <c:f>[线上测试数据.xlsx]游戏行为监测!$M$23:$S$23</c:f>
              <c:strCache>
                <c:ptCount val="7"/>
                <c:pt idx="0">
                  <c:v>22日</c:v>
                </c:pt>
                <c:pt idx="1">
                  <c:v>23日</c:v>
                </c:pt>
                <c:pt idx="2">
                  <c:v>24日</c:v>
                </c:pt>
                <c:pt idx="3">
                  <c:v>25日</c:v>
                </c:pt>
                <c:pt idx="4">
                  <c:v>26日</c:v>
                </c:pt>
                <c:pt idx="5">
                  <c:v>27日</c:v>
                </c:pt>
                <c:pt idx="6">
                  <c:v>28日</c:v>
                </c:pt>
              </c:strCache>
            </c:strRef>
          </c:cat>
          <c:val>
            <c:numRef>
              <c:f>[线上测试数据.xlsx]游戏行为监测!$M$27:$S$27</c:f>
              <c:numCache>
                <c:formatCode>General</c:formatCode>
                <c:ptCount val="7"/>
                <c:pt idx="0">
                  <c:v>83</c:v>
                </c:pt>
                <c:pt idx="1">
                  <c:v>80</c:v>
                </c:pt>
                <c:pt idx="2">
                  <c:v>61</c:v>
                </c:pt>
                <c:pt idx="3">
                  <c:v>60</c:v>
                </c:pt>
                <c:pt idx="4">
                  <c:v>67</c:v>
                </c:pt>
                <c:pt idx="5">
                  <c:v>70</c:v>
                </c:pt>
                <c:pt idx="6">
                  <c:v>72</c:v>
                </c:pt>
              </c:numCache>
            </c:numRef>
          </c:val>
          <c:smooth val="0"/>
        </c:ser>
        <c:dLbls>
          <c:showLegendKey val="0"/>
          <c:showVal val="0"/>
          <c:showCatName val="0"/>
          <c:showSerName val="0"/>
          <c:showPercent val="0"/>
          <c:showBubbleSize val="0"/>
        </c:dLbls>
        <c:marker val="1"/>
        <c:smooth val="0"/>
        <c:axId val="527235120"/>
        <c:axId val="525544664"/>
      </c:lineChart>
      <c:catAx>
        <c:axId val="527235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5544664"/>
        <c:crosses val="autoZero"/>
        <c:auto val="1"/>
        <c:lblAlgn val="ctr"/>
        <c:lblOffset val="100"/>
        <c:noMultiLvlLbl val="0"/>
      </c:catAx>
      <c:valAx>
        <c:axId val="5255446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72351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Dice </a:t>
            </a:r>
            <a:r>
              <a:rPr lang="zh-CN" altLang="en-US"/>
              <a:t>开局数</a:t>
            </a:r>
            <a:endParaRPr lang="zh-CN" altLang="en-US"/>
          </a:p>
        </c:rich>
      </c:tx>
      <c:layout/>
      <c:overlay val="0"/>
      <c:spPr>
        <a:noFill/>
        <a:ln>
          <a:noFill/>
        </a:ln>
        <a:effectLst/>
      </c:spPr>
    </c:title>
    <c:autoTitleDeleted val="0"/>
    <c:plotArea>
      <c:layout/>
      <c:lineChart>
        <c:grouping val="standard"/>
        <c:varyColors val="0"/>
        <c:ser>
          <c:idx val="0"/>
          <c:order val="0"/>
          <c:tx>
            <c:strRef>
              <c:f>[线上测试数据.xlsx]游戏行为监测!$B$28:$C$28</c:f>
              <c:strCache>
                <c:ptCount val="1"/>
                <c:pt idx="0">
                  <c:v>Dice pvp</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elete val="1"/>
          </c:dLbls>
          <c:val>
            <c:numRef>
              <c:f>[线上测试数据.xlsx]游戏行为监测!$D$28:$J$28</c:f>
              <c:numCache>
                <c:formatCode>General</c:formatCode>
                <c:ptCount val="7"/>
                <c:pt idx="0">
                  <c:v>280</c:v>
                </c:pt>
                <c:pt idx="1">
                  <c:v>283</c:v>
                </c:pt>
                <c:pt idx="2">
                  <c:v>287</c:v>
                </c:pt>
                <c:pt idx="3">
                  <c:v>264</c:v>
                </c:pt>
                <c:pt idx="4">
                  <c:v>237</c:v>
                </c:pt>
                <c:pt idx="5">
                  <c:v>257</c:v>
                </c:pt>
                <c:pt idx="6">
                  <c:v>302</c:v>
                </c:pt>
              </c:numCache>
            </c:numRef>
          </c:val>
          <c:smooth val="0"/>
        </c:ser>
        <c:ser>
          <c:idx val="1"/>
          <c:order val="1"/>
          <c:tx>
            <c:strRef>
              <c:f>[线上测试数据.xlsx]游戏行为监测!$B$29:$C$29</c:f>
              <c:strCache>
                <c:ptCount val="1"/>
                <c:pt idx="0">
                  <c:v>Dice 副本</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elete val="1"/>
          </c:dLbls>
          <c:val>
            <c:numRef>
              <c:f>[线上测试数据.xlsx]游戏行为监测!$D$29:$J$29</c:f>
              <c:numCache>
                <c:formatCode>General</c:formatCode>
                <c:ptCount val="7"/>
                <c:pt idx="0">
                  <c:v>128</c:v>
                </c:pt>
                <c:pt idx="1">
                  <c:v>110</c:v>
                </c:pt>
                <c:pt idx="2">
                  <c:v>171</c:v>
                </c:pt>
                <c:pt idx="3">
                  <c:v>200</c:v>
                </c:pt>
                <c:pt idx="4">
                  <c:v>82</c:v>
                </c:pt>
                <c:pt idx="5">
                  <c:v>82</c:v>
                </c:pt>
                <c:pt idx="6">
                  <c:v>112</c:v>
                </c:pt>
              </c:numCache>
            </c:numRef>
          </c:val>
          <c:smooth val="0"/>
        </c:ser>
        <c:ser>
          <c:idx val="2"/>
          <c:order val="2"/>
          <c:tx>
            <c:strRef>
              <c:f>[线上测试数据.xlsx]游戏行为监测!$B$30:$C$30</c:f>
              <c:strCache>
                <c:ptCount val="1"/>
                <c:pt idx="0">
                  <c:v>Dice 好友挑战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elete val="1"/>
          </c:dLbls>
          <c:val>
            <c:numRef>
              <c:f>[线上测试数据.xlsx]游戏行为监测!$D$30:$J$30</c:f>
              <c:numCache>
                <c:formatCode>General</c:formatCode>
                <c:ptCount val="7"/>
                <c:pt idx="0">
                  <c:v>3</c:v>
                </c:pt>
                <c:pt idx="1">
                  <c:v>6</c:v>
                </c:pt>
                <c:pt idx="2">
                  <c:v>7</c:v>
                </c:pt>
                <c:pt idx="3">
                  <c:v>6</c:v>
                </c:pt>
                <c:pt idx="4">
                  <c:v>17</c:v>
                </c:pt>
                <c:pt idx="5">
                  <c:v>18</c:v>
                </c:pt>
                <c:pt idx="6">
                  <c:v>6</c:v>
                </c:pt>
              </c:numCache>
            </c:numRef>
          </c:val>
          <c:smooth val="0"/>
        </c:ser>
        <c:ser>
          <c:idx val="3"/>
          <c:order val="3"/>
          <c:tx>
            <c:strRef>
              <c:f>[线上测试数据.xlsx]游戏行为监测!$B$31:$C$31</c:f>
              <c:strCache>
                <c:ptCount val="1"/>
                <c:pt idx="0">
                  <c:v>Dice 普通刮刮卡</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delete val="1"/>
          </c:dLbls>
          <c:val>
            <c:numRef>
              <c:f>[线上测试数据.xlsx]游戏行为监测!$D$31:$J$31</c:f>
              <c:numCache>
                <c:formatCode>General</c:formatCode>
                <c:ptCount val="7"/>
                <c:pt idx="0">
                  <c:v>215</c:v>
                </c:pt>
                <c:pt idx="1">
                  <c:v>277</c:v>
                </c:pt>
                <c:pt idx="2">
                  <c:v>292</c:v>
                </c:pt>
                <c:pt idx="3">
                  <c:v>283</c:v>
                </c:pt>
                <c:pt idx="4">
                  <c:v>222</c:v>
                </c:pt>
                <c:pt idx="5">
                  <c:v>170</c:v>
                </c:pt>
                <c:pt idx="6">
                  <c:v>147</c:v>
                </c:pt>
              </c:numCache>
            </c:numRef>
          </c:val>
          <c:smooth val="0"/>
        </c:ser>
        <c:dLbls>
          <c:showLegendKey val="0"/>
          <c:showVal val="0"/>
          <c:showCatName val="0"/>
          <c:showSerName val="0"/>
          <c:showPercent val="0"/>
          <c:showBubbleSize val="0"/>
        </c:dLbls>
        <c:marker val="1"/>
        <c:smooth val="0"/>
        <c:axId val="525545448"/>
        <c:axId val="525545840"/>
      </c:lineChart>
      <c:catAx>
        <c:axId val="52554544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5545840"/>
        <c:crosses val="autoZero"/>
        <c:auto val="1"/>
        <c:lblAlgn val="ctr"/>
        <c:lblOffset val="100"/>
        <c:noMultiLvlLbl val="0"/>
      </c:catAx>
      <c:valAx>
        <c:axId val="5255458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554544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Dice</a:t>
            </a:r>
            <a:r>
              <a:rPr lang="zh-CN" altLang="en-US"/>
              <a:t>人数</a:t>
            </a:r>
            <a:endParaRPr lang="zh-CN" altLang="en-US"/>
          </a:p>
        </c:rich>
      </c:tx>
      <c:layout/>
      <c:overlay val="0"/>
      <c:spPr>
        <a:noFill/>
        <a:ln>
          <a:noFill/>
        </a:ln>
        <a:effectLst/>
      </c:spPr>
    </c:title>
    <c:autoTitleDeleted val="0"/>
    <c:plotArea>
      <c:layout/>
      <c:lineChart>
        <c:grouping val="standard"/>
        <c:varyColors val="0"/>
        <c:ser>
          <c:idx val="0"/>
          <c:order val="0"/>
          <c:tx>
            <c:strRef>
              <c:f>[线上测试数据.xlsx]游戏行为监测!$L$28</c:f>
              <c:strCache>
                <c:ptCount val="1"/>
                <c:pt idx="0">
                  <c:v>pvp</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elete val="1"/>
          </c:dLbls>
          <c:val>
            <c:numRef>
              <c:f>[线上测试数据.xlsx]游戏行为监测!$M$28:$S$28</c:f>
              <c:numCache>
                <c:formatCode>General</c:formatCode>
                <c:ptCount val="7"/>
                <c:pt idx="0">
                  <c:v>48</c:v>
                </c:pt>
                <c:pt idx="1">
                  <c:v>48</c:v>
                </c:pt>
                <c:pt idx="2">
                  <c:v>47</c:v>
                </c:pt>
                <c:pt idx="3">
                  <c:v>41</c:v>
                </c:pt>
                <c:pt idx="4">
                  <c:v>34</c:v>
                </c:pt>
                <c:pt idx="5">
                  <c:v>38</c:v>
                </c:pt>
                <c:pt idx="6">
                  <c:v>39</c:v>
                </c:pt>
              </c:numCache>
            </c:numRef>
          </c:val>
          <c:smooth val="0"/>
        </c:ser>
        <c:ser>
          <c:idx val="1"/>
          <c:order val="1"/>
          <c:tx>
            <c:strRef>
              <c:f>[线上测试数据.xlsx]游戏行为监测!$L$29</c:f>
              <c:strCache>
                <c:ptCount val="1"/>
                <c:pt idx="0">
                  <c:v>副本</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elete val="1"/>
          </c:dLbls>
          <c:val>
            <c:numRef>
              <c:f>[线上测试数据.xlsx]游戏行为监测!$M$29:$S$29</c:f>
              <c:numCache>
                <c:formatCode>General</c:formatCode>
                <c:ptCount val="7"/>
                <c:pt idx="0">
                  <c:v>42</c:v>
                </c:pt>
                <c:pt idx="1">
                  <c:v>43</c:v>
                </c:pt>
                <c:pt idx="2">
                  <c:v>39</c:v>
                </c:pt>
                <c:pt idx="3">
                  <c:v>33</c:v>
                </c:pt>
                <c:pt idx="4">
                  <c:v>22</c:v>
                </c:pt>
                <c:pt idx="5">
                  <c:v>26</c:v>
                </c:pt>
                <c:pt idx="6">
                  <c:v>31</c:v>
                </c:pt>
              </c:numCache>
            </c:numRef>
          </c:val>
          <c:smooth val="0"/>
        </c:ser>
        <c:ser>
          <c:idx val="2"/>
          <c:order val="2"/>
          <c:tx>
            <c:strRef>
              <c:f>[线上测试数据.xlsx]游戏行为监测!$L$30</c:f>
              <c:strCache>
                <c:ptCount val="1"/>
                <c:pt idx="0">
                  <c:v>好友挑战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elete val="1"/>
          </c:dLbls>
          <c:val>
            <c:numRef>
              <c:f>[线上测试数据.xlsx]游戏行为监测!$M$30:$S$30</c:f>
              <c:numCache>
                <c:formatCode>General</c:formatCode>
                <c:ptCount val="7"/>
                <c:pt idx="0">
                  <c:v>6</c:v>
                </c:pt>
                <c:pt idx="1">
                  <c:v>6</c:v>
                </c:pt>
                <c:pt idx="2">
                  <c:v>1</c:v>
                </c:pt>
                <c:pt idx="3">
                  <c:v>2</c:v>
                </c:pt>
                <c:pt idx="4">
                  <c:v>2</c:v>
                </c:pt>
                <c:pt idx="5">
                  <c:v>2</c:v>
                </c:pt>
                <c:pt idx="6">
                  <c:v>5</c:v>
                </c:pt>
              </c:numCache>
            </c:numRef>
          </c:val>
          <c:smooth val="0"/>
        </c:ser>
        <c:ser>
          <c:idx val="3"/>
          <c:order val="3"/>
          <c:tx>
            <c:strRef>
              <c:f>[线上测试数据.xlsx]游戏行为监测!$L$31</c:f>
              <c:strCache>
                <c:ptCount val="1"/>
                <c:pt idx="0">
                  <c:v>普通刮刮卡</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delete val="1"/>
          </c:dLbls>
          <c:val>
            <c:numRef>
              <c:f>[线上测试数据.xlsx]游戏行为监测!$M$31:$S$31</c:f>
              <c:numCache>
                <c:formatCode>General</c:formatCode>
                <c:ptCount val="7"/>
                <c:pt idx="0">
                  <c:v>93</c:v>
                </c:pt>
                <c:pt idx="1">
                  <c:v>179</c:v>
                </c:pt>
                <c:pt idx="2">
                  <c:v>111</c:v>
                </c:pt>
                <c:pt idx="3">
                  <c:v>47</c:v>
                </c:pt>
                <c:pt idx="4">
                  <c:v>121</c:v>
                </c:pt>
                <c:pt idx="5">
                  <c:v>105</c:v>
                </c:pt>
                <c:pt idx="6">
                  <c:v>52</c:v>
                </c:pt>
              </c:numCache>
            </c:numRef>
          </c:val>
          <c:smooth val="0"/>
        </c:ser>
        <c:dLbls>
          <c:showLegendKey val="0"/>
          <c:showVal val="0"/>
          <c:showCatName val="0"/>
          <c:showSerName val="0"/>
          <c:showPercent val="0"/>
          <c:showBubbleSize val="0"/>
        </c:dLbls>
        <c:marker val="1"/>
        <c:smooth val="0"/>
        <c:axId val="720125904"/>
        <c:axId val="720126296"/>
      </c:lineChart>
      <c:catAx>
        <c:axId val="72012590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0126296"/>
        <c:crosses val="autoZero"/>
        <c:auto val="1"/>
        <c:lblAlgn val="ctr"/>
        <c:lblOffset val="100"/>
        <c:noMultiLvlLbl val="0"/>
      </c:catAx>
      <c:valAx>
        <c:axId val="7201262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012590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游戏人数</a:t>
            </a:r>
            <a:endParaRPr lang="zh-CN" altLang="en-US"/>
          </a:p>
        </c:rich>
      </c:tx>
      <c:layout/>
      <c:overlay val="0"/>
      <c:spPr>
        <a:noFill/>
        <a:ln>
          <a:noFill/>
        </a:ln>
        <a:effectLst/>
      </c:spPr>
    </c:title>
    <c:autoTitleDeleted val="0"/>
    <c:plotArea>
      <c:layout/>
      <c:lineChart>
        <c:grouping val="standard"/>
        <c:varyColors val="0"/>
        <c:ser>
          <c:idx val="0"/>
          <c:order val="0"/>
          <c:tx>
            <c:strRef>
              <c:f>[线上测试数据.xlsx]平台行为监测!$C$12</c:f>
              <c:strCache>
                <c:ptCount val="1"/>
                <c:pt idx="0">
                  <c:v>dice游戏人数</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elete val="1"/>
          </c:dLbls>
          <c:cat>
            <c:numRef>
              <c:f>[线上测试数据.xlsx]平台行为监测!$B$13:$B$19</c:f>
              <c:numCache>
                <c:formatCode>yyyy/m/d</c:formatCode>
                <c:ptCount val="7"/>
                <c:pt idx="0" c:formatCode="yyyy/m/d">
                  <c:v>43889</c:v>
                </c:pt>
                <c:pt idx="1" c:formatCode="yyyy/m/d">
                  <c:v>43888</c:v>
                </c:pt>
                <c:pt idx="2" c:formatCode="yyyy/m/d">
                  <c:v>43887</c:v>
                </c:pt>
                <c:pt idx="3" c:formatCode="yyyy/m/d">
                  <c:v>43886</c:v>
                </c:pt>
                <c:pt idx="4" c:formatCode="yyyy/m/d">
                  <c:v>43885</c:v>
                </c:pt>
                <c:pt idx="5" c:formatCode="yyyy/m/d">
                  <c:v>43884</c:v>
                </c:pt>
                <c:pt idx="6" c:formatCode="yyyy/m/d">
                  <c:v>43883</c:v>
                </c:pt>
              </c:numCache>
            </c:numRef>
          </c:cat>
          <c:val>
            <c:numRef>
              <c:f>[线上测试数据.xlsx]平台行为监测!$C$13:$C$19</c:f>
              <c:numCache>
                <c:formatCode>General</c:formatCode>
                <c:ptCount val="7"/>
                <c:pt idx="0">
                  <c:v>72</c:v>
                </c:pt>
                <c:pt idx="1">
                  <c:v>124</c:v>
                </c:pt>
                <c:pt idx="2">
                  <c:v>165</c:v>
                </c:pt>
                <c:pt idx="3">
                  <c:v>177</c:v>
                </c:pt>
                <c:pt idx="4">
                  <c:v>122</c:v>
                </c:pt>
                <c:pt idx="5">
                  <c:v>150</c:v>
                </c:pt>
                <c:pt idx="6">
                  <c:v>133</c:v>
                </c:pt>
              </c:numCache>
            </c:numRef>
          </c:val>
          <c:smooth val="0"/>
        </c:ser>
        <c:ser>
          <c:idx val="1"/>
          <c:order val="1"/>
          <c:tx>
            <c:strRef>
              <c:f>[线上测试数据.xlsx]平台行为监测!$D$12</c:f>
              <c:strCache>
                <c:ptCount val="1"/>
                <c:pt idx="0">
                  <c:v>ludo游戏人数</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elete val="1"/>
          </c:dLbls>
          <c:cat>
            <c:numRef>
              <c:f>[线上测试数据.xlsx]平台行为监测!$B$13:$B$19</c:f>
              <c:numCache>
                <c:formatCode>yyyy/m/d</c:formatCode>
                <c:ptCount val="7"/>
                <c:pt idx="0" c:formatCode="yyyy/m/d">
                  <c:v>43889</c:v>
                </c:pt>
                <c:pt idx="1" c:formatCode="yyyy/m/d">
                  <c:v>43888</c:v>
                </c:pt>
                <c:pt idx="2" c:formatCode="yyyy/m/d">
                  <c:v>43887</c:v>
                </c:pt>
                <c:pt idx="3" c:formatCode="yyyy/m/d">
                  <c:v>43886</c:v>
                </c:pt>
                <c:pt idx="4" c:formatCode="yyyy/m/d">
                  <c:v>43885</c:v>
                </c:pt>
                <c:pt idx="5" c:formatCode="yyyy/m/d">
                  <c:v>43884</c:v>
                </c:pt>
                <c:pt idx="6" c:formatCode="yyyy/m/d">
                  <c:v>43883</c:v>
                </c:pt>
              </c:numCache>
            </c:numRef>
          </c:cat>
          <c:val>
            <c:numRef>
              <c:f>[线上测试数据.xlsx]平台行为监测!$D$13:$D$19</c:f>
              <c:numCache>
                <c:formatCode>General</c:formatCode>
                <c:ptCount val="7"/>
                <c:pt idx="0">
                  <c:v>354</c:v>
                </c:pt>
                <c:pt idx="1">
                  <c:v>180</c:v>
                </c:pt>
                <c:pt idx="2">
                  <c:v>213</c:v>
                </c:pt>
                <c:pt idx="3">
                  <c:v>221</c:v>
                </c:pt>
                <c:pt idx="4">
                  <c:v>223</c:v>
                </c:pt>
                <c:pt idx="5">
                  <c:v>355</c:v>
                </c:pt>
                <c:pt idx="6">
                  <c:v>196</c:v>
                </c:pt>
              </c:numCache>
            </c:numRef>
          </c:val>
          <c:smooth val="0"/>
        </c:ser>
        <c:ser>
          <c:idx val="2"/>
          <c:order val="2"/>
          <c:tx>
            <c:strRef>
              <c:f>[线上测试数据.xlsx]平台行为监测!$E$12</c:f>
              <c:strCache>
                <c:ptCount val="1"/>
                <c:pt idx="0">
                  <c:v>baloot游戏人数</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elete val="1"/>
          </c:dLbls>
          <c:cat>
            <c:numRef>
              <c:f>[线上测试数据.xlsx]平台行为监测!$B$13:$B$19</c:f>
              <c:numCache>
                <c:formatCode>yyyy/m/d</c:formatCode>
                <c:ptCount val="7"/>
                <c:pt idx="0" c:formatCode="yyyy/m/d">
                  <c:v>43889</c:v>
                </c:pt>
                <c:pt idx="1" c:formatCode="yyyy/m/d">
                  <c:v>43888</c:v>
                </c:pt>
                <c:pt idx="2" c:formatCode="yyyy/m/d">
                  <c:v>43887</c:v>
                </c:pt>
                <c:pt idx="3" c:formatCode="yyyy/m/d">
                  <c:v>43886</c:v>
                </c:pt>
                <c:pt idx="4" c:formatCode="yyyy/m/d">
                  <c:v>43885</c:v>
                </c:pt>
                <c:pt idx="5" c:formatCode="yyyy/m/d">
                  <c:v>43884</c:v>
                </c:pt>
                <c:pt idx="6" c:formatCode="yyyy/m/d">
                  <c:v>43883</c:v>
                </c:pt>
              </c:numCache>
            </c:numRef>
          </c:cat>
          <c:val>
            <c:numRef>
              <c:f>[线上测试数据.xlsx]平台行为监测!$E$13:$E$19</c:f>
              <c:numCache>
                <c:formatCode>General</c:formatCode>
                <c:ptCount val="7"/>
                <c:pt idx="0">
                  <c:v>34</c:v>
                </c:pt>
                <c:pt idx="1">
                  <c:v>31</c:v>
                </c:pt>
                <c:pt idx="2">
                  <c:v>32</c:v>
                </c:pt>
                <c:pt idx="3">
                  <c:v>25</c:v>
                </c:pt>
                <c:pt idx="4">
                  <c:v>37</c:v>
                </c:pt>
                <c:pt idx="5">
                  <c:v>41</c:v>
                </c:pt>
                <c:pt idx="6">
                  <c:v>31</c:v>
                </c:pt>
              </c:numCache>
            </c:numRef>
          </c:val>
          <c:smooth val="0"/>
        </c:ser>
        <c:ser>
          <c:idx val="3"/>
          <c:order val="3"/>
          <c:tx>
            <c:strRef>
              <c:f>[线上测试数据.xlsx]平台行为监测!$F$12</c:f>
              <c:strCache>
                <c:ptCount val="1"/>
                <c:pt idx="0">
                  <c:v>画猜游戏人数</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delete val="1"/>
          </c:dLbls>
          <c:cat>
            <c:numRef>
              <c:f>[线上测试数据.xlsx]平台行为监测!$B$13:$B$19</c:f>
              <c:numCache>
                <c:formatCode>yyyy/m/d</c:formatCode>
                <c:ptCount val="7"/>
                <c:pt idx="0" c:formatCode="yyyy/m/d">
                  <c:v>43889</c:v>
                </c:pt>
                <c:pt idx="1" c:formatCode="yyyy/m/d">
                  <c:v>43888</c:v>
                </c:pt>
                <c:pt idx="2" c:formatCode="yyyy/m/d">
                  <c:v>43887</c:v>
                </c:pt>
                <c:pt idx="3" c:formatCode="yyyy/m/d">
                  <c:v>43886</c:v>
                </c:pt>
                <c:pt idx="4" c:formatCode="yyyy/m/d">
                  <c:v>43885</c:v>
                </c:pt>
                <c:pt idx="5" c:formatCode="yyyy/m/d">
                  <c:v>43884</c:v>
                </c:pt>
                <c:pt idx="6" c:formatCode="yyyy/m/d">
                  <c:v>43883</c:v>
                </c:pt>
              </c:numCache>
            </c:numRef>
          </c:cat>
          <c:val>
            <c:numRef>
              <c:f>[线上测试数据.xlsx]平台行为监测!$F$13:$F$19</c:f>
              <c:numCache>
                <c:formatCode>General</c:formatCode>
                <c:ptCount val="7"/>
                <c:pt idx="0">
                  <c:v>23</c:v>
                </c:pt>
                <c:pt idx="1">
                  <c:v>26</c:v>
                </c:pt>
                <c:pt idx="2">
                  <c:v>21</c:v>
                </c:pt>
                <c:pt idx="3">
                  <c:v>13</c:v>
                </c:pt>
                <c:pt idx="4">
                  <c:v>23</c:v>
                </c:pt>
                <c:pt idx="5">
                  <c:v>24</c:v>
                </c:pt>
                <c:pt idx="6">
                  <c:v>21</c:v>
                </c:pt>
              </c:numCache>
            </c:numRef>
          </c:val>
          <c:smooth val="0"/>
        </c:ser>
        <c:ser>
          <c:idx val="4"/>
          <c:order val="4"/>
          <c:tx>
            <c:strRef>
              <c:f>[线上测试数据.xlsx]平台行为监测!$G$12</c:f>
              <c:strCache>
                <c:ptCount val="1"/>
                <c:pt idx="0">
                  <c:v>卧底游戏人数</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Lbls>
            <c:delete val="1"/>
          </c:dLbls>
          <c:cat>
            <c:numRef>
              <c:f>[线上测试数据.xlsx]平台行为监测!$B$13:$B$19</c:f>
              <c:numCache>
                <c:formatCode>yyyy/m/d</c:formatCode>
                <c:ptCount val="7"/>
                <c:pt idx="0" c:formatCode="yyyy/m/d">
                  <c:v>43889</c:v>
                </c:pt>
                <c:pt idx="1" c:formatCode="yyyy/m/d">
                  <c:v>43888</c:v>
                </c:pt>
                <c:pt idx="2" c:formatCode="yyyy/m/d">
                  <c:v>43887</c:v>
                </c:pt>
                <c:pt idx="3" c:formatCode="yyyy/m/d">
                  <c:v>43886</c:v>
                </c:pt>
                <c:pt idx="4" c:formatCode="yyyy/m/d">
                  <c:v>43885</c:v>
                </c:pt>
                <c:pt idx="5" c:formatCode="yyyy/m/d">
                  <c:v>43884</c:v>
                </c:pt>
                <c:pt idx="6" c:formatCode="yyyy/m/d">
                  <c:v>43883</c:v>
                </c:pt>
              </c:numCache>
            </c:numRef>
          </c:cat>
          <c:val>
            <c:numRef>
              <c:f>[线上测试数据.xlsx]平台行为监测!$G$13:$G$19</c:f>
              <c:numCache>
                <c:formatCode>General</c:formatCode>
                <c:ptCount val="7"/>
                <c:pt idx="0">
                  <c:v>16</c:v>
                </c:pt>
                <c:pt idx="1">
                  <c:v>14</c:v>
                </c:pt>
                <c:pt idx="2">
                  <c:v>16</c:v>
                </c:pt>
                <c:pt idx="3">
                  <c:v>11</c:v>
                </c:pt>
                <c:pt idx="4">
                  <c:v>15</c:v>
                </c:pt>
                <c:pt idx="5">
                  <c:v>19</c:v>
                </c:pt>
                <c:pt idx="6">
                  <c:v>14</c:v>
                </c:pt>
              </c:numCache>
            </c:numRef>
          </c:val>
          <c:smooth val="0"/>
        </c:ser>
        <c:dLbls>
          <c:showLegendKey val="0"/>
          <c:showVal val="0"/>
          <c:showCatName val="0"/>
          <c:showSerName val="0"/>
          <c:showPercent val="0"/>
          <c:showBubbleSize val="0"/>
        </c:dLbls>
        <c:marker val="1"/>
        <c:smooth val="0"/>
        <c:axId val="720127080"/>
        <c:axId val="720127472"/>
      </c:lineChart>
      <c:dateAx>
        <c:axId val="720127080"/>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0127472"/>
        <c:crosses val="autoZero"/>
        <c:auto val="1"/>
        <c:lblOffset val="100"/>
        <c:baseTimeUnit val="days"/>
      </c:dateAx>
      <c:valAx>
        <c:axId val="7201274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012708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1</TotalTime>
  <ScaleCrop>false</ScaleCrop>
  <LinksUpToDate>false</LinksUpToDate>
  <CharactersWithSpaces>151</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acer</cp:lastModifiedBy>
  <dcterms:modified xsi:type="dcterms:W3CDTF">2020-08-19T02:48:01Z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