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0410-2020-Q</w:t>
      </w:r>
      <w:bookmarkEnd w:id="0"/>
    </w:p>
    <w:p>
      <w:pPr>
        <w:pStyle w:val="6"/>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凉山州良圆马铃薯种业有限责任公司</w:t>
      </w:r>
      <w:bookmarkEnd w:id="1"/>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hint="eastAsia" w:ascii="宋体" w:hAns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陈光明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凉山州良圆马铃薯种业有限责任公司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西昌市安宁镇</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615013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四川省凉山州西昌市安宁镇机场路133号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615013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郭艳英</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18981510852</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曾洪柱</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张懋</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许可范围内的马铃薯的种植和销售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01.01.03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color w:val="000000"/>
          <w:sz w:val="20"/>
          <w:szCs w:val="20"/>
          <w:u w:val="single"/>
          <w:lang w:eastAsia="zh-CN"/>
        </w:rPr>
      </w:pPr>
      <w:r>
        <w:rPr>
          <w:rFonts w:hint="eastAsia" w:ascii="宋体" w:hAnsi="宋体"/>
          <w:b/>
          <w:color w:val="000000"/>
          <w:sz w:val="20"/>
          <w:szCs w:val="20"/>
          <w:u w:val="single"/>
          <w:lang w:eastAsia="zh-CN"/>
        </w:rPr>
        <w:t xml:space="preserve">部门：  管理层、综合部、生产部、营销部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u w:val="single"/>
          <w:lang w:eastAsia="zh-CN"/>
        </w:rPr>
        <w:t>场所：</w:t>
      </w:r>
      <w:r>
        <w:rPr>
          <w:rFonts w:ascii="宋体"/>
          <w:b/>
          <w:color w:val="000000"/>
          <w:sz w:val="20"/>
          <w:szCs w:val="20"/>
        </w:rPr>
        <w:t>四川省凉山州西昌市安宁镇机场路133号</w:t>
      </w:r>
      <w:r>
        <w:rPr>
          <w:rFonts w:hint="eastAsia" w:ascii="宋体" w:hAnsi="宋体"/>
          <w:b/>
          <w:color w:val="000000"/>
          <w:sz w:val="20"/>
          <w:szCs w:val="20"/>
          <w:u w:val="single"/>
          <w:lang w:eastAsia="zh-CN"/>
        </w:rPr>
        <w:t xml:space="preserve">      </w:t>
      </w:r>
      <w:r>
        <w:rPr>
          <w:rFonts w:hint="eastAsia" w:ascii="宋体" w:hAnsi="Times New Roman" w:cs="Times New Roman"/>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（2）质量管理体系是否删减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 xml:space="preserve">（3）删减是否合理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（4）是否进行了过程识别</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b/>
                <w:szCs w:val="21"/>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许可范围内的马铃薯的种植和销售</w:t>
            </w:r>
          </w:p>
          <w:p>
            <w:pPr>
              <w:tabs>
                <w:tab w:val="left" w:pos="360"/>
              </w:tabs>
              <w:ind w:left="360" w:hanging="360"/>
              <w:rPr>
                <w:rFonts w:hint="eastAsia"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综合部、生产部、营销部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四川省凉山州西昌市安宁镇机场路133号</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p>
          <w:p>
            <w:pPr>
              <w:tabs>
                <w:tab w:val="left" w:pos="360"/>
              </w:tabs>
              <w:ind w:left="357" w:hanging="357"/>
              <w:rPr>
                <w:rFonts w:hint="eastAsia" w:ascii="宋体" w:hAnsi="宋体"/>
                <w:b/>
                <w:bCs/>
                <w:color w:val="0000FF"/>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FF"/>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FF"/>
                <w:sz w:val="20"/>
                <w:szCs w:val="20"/>
              </w:rPr>
              <w:t xml:space="preserve"> </w:t>
            </w:r>
            <w:r>
              <w:rPr>
                <w:rFonts w:hint="eastAsia" w:ascii="宋体" w:hAnsi="宋体"/>
                <w:color w:val="0000FF"/>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default" w:eastAsia="宋体"/>
                <w:color w:val="000000"/>
                <w:szCs w:val="21"/>
                <w:lang w:val="en-US" w:eastAsia="zh-CN"/>
              </w:rPr>
            </w:pPr>
            <w:r>
              <w:rPr>
                <w:rFonts w:hint="eastAsia" w:ascii="宋体"/>
                <w:color w:val="000000"/>
                <w:sz w:val="20"/>
                <w:szCs w:val="20"/>
              </w:rPr>
              <w:t>其他资质：</w:t>
            </w:r>
          </w:p>
          <w:p>
            <w:pPr>
              <w:spacing w:line="440" w:lineRule="exact"/>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s="Times New Roman"/>
                <w:color w:val="000000"/>
                <w:sz w:val="20"/>
                <w:szCs w:val="20"/>
                <w:lang w:val="en-US" w:eastAsia="zh-CN"/>
              </w:rPr>
            </w:pPr>
            <w:r>
              <w:rPr>
                <w:rFonts w:hint="eastAsia" w:ascii="宋体" w:hAnsi="宋体"/>
                <w:color w:val="000000"/>
                <w:sz w:val="20"/>
                <w:szCs w:val="20"/>
              </w:rPr>
              <w:t>□</w:t>
            </w:r>
            <w:r>
              <w:rPr>
                <w:rFonts w:hint="eastAsia" w:ascii="宋体" w:hAnsi="宋体" w:cs="Times New Roman"/>
                <w:color w:val="000000"/>
                <w:sz w:val="20"/>
                <w:szCs w:val="20"/>
              </w:rPr>
              <w:t>产品技术标准号：合同法、产品质量法</w:t>
            </w:r>
            <w:r>
              <w:rPr>
                <w:rFonts w:hint="eastAsia" w:ascii="宋体" w:hAnsi="宋体" w:cs="Times New Roman"/>
                <w:color w:val="000000"/>
                <w:sz w:val="20"/>
                <w:szCs w:val="20"/>
                <w:lang w:eastAsia="zh-CN"/>
              </w:rPr>
              <w:t>、消费者权益保护法</w:t>
            </w:r>
            <w:r>
              <w:rPr>
                <w:rFonts w:hint="eastAsia" w:ascii="宋体" w:hAnsi="宋体" w:cs="Times New Roman"/>
                <w:color w:val="000000"/>
                <w:sz w:val="20"/>
                <w:szCs w:val="20"/>
              </w:rPr>
              <w:t>等和合同技术协议、</w:t>
            </w:r>
            <w:r>
              <w:rPr>
                <w:rFonts w:hint="eastAsia" w:ascii="宋体" w:hAnsi="宋体" w:cs="宋体"/>
                <w:color w:val="000000"/>
                <w:szCs w:val="21"/>
                <w:lang w:val="en-US" w:eastAsia="zh-CN"/>
              </w:rPr>
              <w:t>GB18133-2012马铃薯种薯、四川DB51/T821-2008脱毒种薯标准</w:t>
            </w:r>
          </w:p>
          <w:p>
            <w:pPr>
              <w:rPr>
                <w:rFonts w:ascii="宋体"/>
                <w:color w:val="000000"/>
                <w:spacing w:val="-10"/>
                <w:sz w:val="20"/>
                <w:szCs w:val="20"/>
              </w:rPr>
            </w:pPr>
            <w:r>
              <w:rPr>
                <w:rFonts w:hint="eastAsia" w:ascii="宋体" w:hAnsi="宋体" w:cs="Times New Roman"/>
                <w:color w:val="000000"/>
                <w:sz w:val="20"/>
                <w:szCs w:val="20"/>
                <w:lang w:eastAsia="zh-CN"/>
              </w:rPr>
              <w:t>☑</w:t>
            </w:r>
            <w:r>
              <w:rPr>
                <w:rFonts w:hint="eastAsia" w:ascii="宋体" w:hAnsi="宋体" w:cs="Times New Roman"/>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eastAsia="宋体" w:cs="Times New Roman"/>
                <w:color w:val="000000" w:themeColor="text1"/>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hint="eastAsia" w:ascii="宋体" w:hAnsi="宋体"/>
          <w:b/>
          <w:color w:val="000000"/>
          <w:sz w:val="22"/>
          <w:szCs w:val="22"/>
        </w:rPr>
      </w:pPr>
    </w:p>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jc w:val="both"/>
              <w:rPr>
                <w:rFonts w:hint="eastAsia" w:ascii="宋体" w:hAnsi="宋体"/>
                <w:color w:val="000000" w:themeColor="text1"/>
                <w:szCs w:val="21"/>
              </w:rPr>
            </w:pPr>
          </w:p>
          <w:p>
            <w:pPr>
              <w:snapToGrid w:val="0"/>
              <w:spacing w:line="280" w:lineRule="exact"/>
              <w:jc w:val="both"/>
              <w:rPr>
                <w:rFonts w:hint="eastAsia" w:ascii="宋体" w:hAnsi="宋体" w:eastAsia="宋体"/>
                <w:b/>
                <w:color w:val="000000" w:themeColor="text1"/>
                <w:sz w:val="20"/>
                <w:szCs w:val="20"/>
                <w:lang w:eastAsia="zh-CN"/>
              </w:rPr>
            </w:pPr>
            <w:r>
              <w:rPr>
                <w:rFonts w:ascii="宋体" w:hAnsi="宋体"/>
                <w:b/>
                <w:color w:val="000000" w:themeColor="text1"/>
                <w:sz w:val="20"/>
                <w:szCs w:val="20"/>
              </w:rPr>
              <w:t>许可范围内的马铃薯的种植和销售</w:t>
            </w:r>
            <w:r>
              <w:rPr>
                <w:rFonts w:hint="eastAsia" w:ascii="宋体" w:hAnsi="宋体"/>
                <w:b/>
                <w:color w:val="000000" w:themeColor="text1"/>
                <w:sz w:val="20"/>
                <w:szCs w:val="20"/>
                <w:lang w:eastAsia="zh-CN"/>
              </w:rPr>
              <w:t>流程：</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签订合同---引种---试管苗扩繁---试管苗病毒检测--进入网室无土栽培--马铃薯原原种病毒检测--（入库）交付客户；</w:t>
            </w:r>
          </w:p>
          <w:p>
            <w:pPr>
              <w:spacing w:line="360" w:lineRule="auto"/>
              <w:rPr>
                <w:color w:val="000000" w:themeColor="text1"/>
              </w:rPr>
            </w:pPr>
            <w:r>
              <w:rPr>
                <w:rFonts w:hint="eastAsia" w:ascii="宋体" w:hAnsi="宋体"/>
                <w:color w:val="000000" w:themeColor="text1"/>
                <w:szCs w:val="22"/>
              </w:rPr>
              <w:t>需确认/特殊过程：</w:t>
            </w:r>
            <w:r>
              <w:rPr>
                <w:rFonts w:hint="eastAsia" w:ascii="宋体" w:hAnsi="宋体"/>
                <w:color w:val="000000" w:themeColor="text1"/>
                <w:szCs w:val="22"/>
                <w:lang w:eastAsia="zh-CN"/>
              </w:rPr>
              <w:t>种植</w:t>
            </w:r>
            <w:r>
              <w:rPr>
                <w:rFonts w:hint="eastAsia" w:ascii="宋体" w:hAnsi="宋体"/>
                <w:color w:val="000000" w:themeColor="text1"/>
                <w:szCs w:val="22"/>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zCs w:val="22"/>
                <w:lang w:eastAsia="zh-CN"/>
              </w:rPr>
              <w:t>种植</w:t>
            </w:r>
            <w:r>
              <w:rPr>
                <w:rFonts w:hint="eastAsia" w:ascii="宋体" w:hAnsi="宋体"/>
                <w:color w:val="000000" w:themeColor="text1"/>
                <w:szCs w:val="22"/>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s="Times New Roman"/>
                <w:color w:val="000000" w:themeColor="text1"/>
                <w:spacing w:val="-10"/>
                <w:sz w:val="20"/>
                <w:szCs w:val="20"/>
              </w:rPr>
              <w:t>：产品和服务实现过程的策划程序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zCs w:val="22"/>
                <w:lang w:eastAsia="zh-CN"/>
              </w:rPr>
              <w:t>种植</w:t>
            </w:r>
            <w:r>
              <w:rPr>
                <w:rFonts w:hint="eastAsia" w:ascii="宋体" w:hAnsi="宋体"/>
                <w:color w:val="000000" w:themeColor="text1"/>
                <w:szCs w:val="22"/>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产品委托检测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w:t>
            </w:r>
            <w:r>
              <w:rPr>
                <w:rFonts w:hint="eastAsia" w:ascii="宋体" w:hAnsi="宋体" w:cs="Times New Roman"/>
                <w:color w:val="000000" w:themeColor="text1"/>
                <w:spacing w:val="-10"/>
                <w:sz w:val="20"/>
                <w:szCs w:val="20"/>
              </w:rPr>
              <w:t>方法：供方控制程序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s="宋体"/>
                <w:color w:val="000000" w:themeColor="text1"/>
                <w:szCs w:val="21"/>
              </w:rPr>
              <w:t>接种盘</w:t>
            </w:r>
            <w:r>
              <w:rPr>
                <w:rFonts w:hint="eastAsia" w:ascii="宋体" w:hAnsi="宋体" w:cs="宋体"/>
                <w:color w:val="000000" w:themeColor="text1"/>
                <w:szCs w:val="21"/>
                <w:lang w:eastAsia="zh-CN"/>
              </w:rPr>
              <w:t>、</w:t>
            </w:r>
            <w:r>
              <w:rPr>
                <w:rFonts w:hint="eastAsia" w:ascii="宋体" w:hAnsi="宋体" w:cs="宋体"/>
                <w:color w:val="000000" w:themeColor="text1"/>
                <w:szCs w:val="21"/>
              </w:rPr>
              <w:t>培养皿</w:t>
            </w:r>
            <w:r>
              <w:rPr>
                <w:rFonts w:hint="eastAsia" w:ascii="宋体" w:hAnsi="宋体" w:cs="宋体"/>
                <w:color w:val="000000" w:themeColor="text1"/>
                <w:szCs w:val="21"/>
                <w:lang w:eastAsia="zh-CN"/>
              </w:rPr>
              <w:t>、蒸汽灭菌器、网室、收薯机及种植工具（塑料筐、弯剪、镊子、铲子、喷雾器）等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 xml:space="preserve">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监视和测量设备（请简述主要监视和测量设备）：</w:t>
            </w:r>
            <w:r>
              <w:rPr>
                <w:rFonts w:hint="eastAsia" w:ascii="宋体" w:hAnsi="宋体" w:eastAsia="宋体" w:cs="Times New Roman"/>
                <w:color w:val="000000" w:themeColor="text1"/>
                <w:spacing w:val="-10"/>
                <w:sz w:val="20"/>
                <w:szCs w:val="20"/>
                <w:lang w:val="en-US" w:eastAsia="zh-CN"/>
              </w:rPr>
              <w:t>组织只对产品的外观、数量、等级进行验收。产品质量性能委托有资质的第三方（四川农业大学，提供委托协议见附件）进行检测，采取以三方出具的产品病毒检测报告为验收依据进行最终产品的核验。生产过程中的监控用到了温度计、电子天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 xml:space="preserve">检测设备是否满足要求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 xml:space="preserve">是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lang w:val="en-US" w:eastAsia="zh-CN"/>
              </w:rPr>
              <w:t xml:space="preserve">   </w:t>
            </w:r>
            <w:r>
              <w:rPr>
                <w:rFonts w:hint="eastAsia" w:ascii="宋体" w:hAnsi="宋体" w:eastAsia="宋体" w:cs="Times New Roman"/>
                <w:color w:val="000000" w:themeColor="text1"/>
                <w:spacing w:val="-10"/>
                <w:sz w:val="20"/>
                <w:szCs w:val="20"/>
                <w:lang w:val="en-US" w:eastAsia="zh-CN"/>
              </w:rPr>
              <w:t>不能出具效期内的校准证书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FF0000"/>
                <w:sz w:val="20"/>
                <w:szCs w:val="20"/>
                <w:u w:val="single"/>
              </w:rPr>
              <w:t xml:space="preserve"> </w:t>
            </w:r>
            <w:r>
              <w:rPr>
                <w:rFonts w:hint="eastAsia" w:ascii="宋体" w:hAnsi="Times New Roman" w:eastAsia="宋体" w:cs="Times New Roman"/>
                <w:color w:val="000000"/>
                <w:sz w:val="20"/>
                <w:szCs w:val="20"/>
                <w:lang w:val="en-US" w:eastAsia="zh-CN"/>
              </w:rPr>
              <w:t>23</w:t>
            </w:r>
            <w:r>
              <w:rPr>
                <w:rFonts w:hint="eastAsia" w:ascii="宋体" w:hAnsi="Times New Roman" w:eastAsia="宋体" w:cs="Times New Roman"/>
                <w:color w:val="000000"/>
                <w:sz w:val="20"/>
                <w:szCs w:val="20"/>
              </w:rPr>
              <w:t xml:space="preserve">   人，</w:t>
            </w:r>
            <w:r>
              <w:rPr>
                <w:rFonts w:hint="eastAsia" w:ascii="宋体"/>
                <w:color w:val="000000"/>
                <w:sz w:val="20"/>
                <w:szCs w:val="20"/>
              </w:rPr>
              <w:t>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eastAsia="宋体"/>
                <w:szCs w:val="21"/>
              </w:rPr>
              <w:t>建立有《内部审核控制程序》，于</w:t>
            </w:r>
            <w:r>
              <w:rPr>
                <w:rFonts w:hint="eastAsia" w:eastAsia="宋体"/>
                <w:szCs w:val="21"/>
                <w:lang w:val="en-US" w:eastAsia="zh-CN"/>
              </w:rPr>
              <w:t>：</w:t>
            </w:r>
            <w:r>
              <w:rPr>
                <w:rFonts w:hint="eastAsia"/>
                <w:sz w:val="21"/>
                <w:szCs w:val="21"/>
                <w:lang w:eastAsia="zh-CN"/>
              </w:rPr>
              <w:t>2020年5月15日</w:t>
            </w:r>
            <w:r>
              <w:rPr>
                <w:rFonts w:hint="eastAsia" w:eastAsia="宋体"/>
                <w:szCs w:val="21"/>
              </w:rPr>
              <w:t>进行了内部审核。内部审核组</w:t>
            </w:r>
            <w:r>
              <w:rPr>
                <w:rFonts w:hint="eastAsia" w:eastAsia="宋体"/>
                <w:szCs w:val="21"/>
                <w:lang w:eastAsia="zh-CN"/>
              </w:rPr>
              <w:t>组成</w:t>
            </w:r>
            <w:r>
              <w:rPr>
                <w:rFonts w:hint="eastAsia" w:eastAsia="宋体"/>
                <w:szCs w:val="21"/>
                <w:lang w:val="en-US" w:eastAsia="zh-CN"/>
              </w:rPr>
              <w:t>组长：</w:t>
            </w:r>
            <w:r>
              <w:rPr>
                <w:rFonts w:hint="eastAsia" w:cs="Times New Roman"/>
                <w:sz w:val="21"/>
                <w:szCs w:val="21"/>
                <w:lang w:val="en-US" w:eastAsia="zh-CN"/>
              </w:rPr>
              <w:t>审核组长：郭艳英      组员：周祥波</w:t>
            </w:r>
            <w:r>
              <w:rPr>
                <w:rFonts w:hint="eastAsia"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adjustRightInd w:val="0"/>
              <w:spacing w:line="400" w:lineRule="exact"/>
              <w:textAlignment w:val="baseline"/>
              <w:rPr>
                <w:rFonts w:hint="eastAsia" w:ascii="宋体" w:hAnsi="宋体" w:eastAsia="宋体"/>
                <w:kern w:val="0"/>
                <w:szCs w:val="21"/>
              </w:rPr>
            </w:pPr>
            <w:r>
              <w:rPr>
                <w:rFonts w:hint="eastAsia" w:ascii="宋体" w:hAnsi="宋体" w:eastAsia="宋体"/>
                <w:kern w:val="0"/>
                <w:szCs w:val="21"/>
              </w:rPr>
              <w:t>审核范围:管理体系涉及的公司所有部门、生产车间及活动场所。</w:t>
            </w:r>
          </w:p>
          <w:p>
            <w:pPr>
              <w:adjustRightInd w:val="0"/>
              <w:spacing w:line="400" w:lineRule="exact"/>
              <w:textAlignment w:val="baseline"/>
              <w:rPr>
                <w:rFonts w:ascii="宋体"/>
                <w:b/>
                <w:color w:val="000000"/>
                <w:sz w:val="20"/>
                <w:szCs w:val="20"/>
              </w:rPr>
            </w:pPr>
            <w:r>
              <w:rPr>
                <w:rFonts w:hint="eastAsia" w:ascii="宋体" w:hAnsi="宋体" w:eastAsia="宋体"/>
                <w:kern w:val="0"/>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adjustRightInd w:val="0"/>
              <w:spacing w:line="400" w:lineRule="exact"/>
              <w:textAlignment w:val="baseline"/>
              <w:rPr>
                <w:rFonts w:hint="eastAsia" w:ascii="宋体" w:hAnsi="宋体" w:eastAsia="宋体"/>
                <w:kern w:val="0"/>
                <w:szCs w:val="21"/>
              </w:rPr>
            </w:pPr>
            <w:r>
              <w:rPr>
                <w:rFonts w:hint="eastAsia" w:ascii="宋体" w:hAnsi="宋体" w:eastAsia="宋体"/>
                <w:kern w:val="0"/>
                <w:szCs w:val="21"/>
              </w:rPr>
              <w:t>本次内审对2015版标准体系文件管理手册、体系文件进行了全面检查，通过审核可以看出管理体系已基本进入了正常状态，但仍存在一些问题，需要完善作业及加强各类人员的培训。</w:t>
            </w:r>
          </w:p>
          <w:p>
            <w:pPr>
              <w:adjustRightInd w:val="0"/>
              <w:spacing w:line="400" w:lineRule="exact"/>
              <w:textAlignment w:val="baseline"/>
              <w:rPr>
                <w:rFonts w:hint="eastAsia" w:ascii="宋体" w:hAnsi="宋体" w:eastAsia="宋体"/>
                <w:kern w:val="0"/>
                <w:szCs w:val="21"/>
              </w:rPr>
            </w:pPr>
            <w:r>
              <w:rPr>
                <w:rFonts w:hint="eastAsia" w:ascii="宋体" w:hAnsi="宋体" w:eastAsia="宋体"/>
                <w:kern w:val="0"/>
                <w:szCs w:val="21"/>
              </w:rPr>
              <w:t>各部门需要对内审开出的不符合项报告认真整改，并做到举一反三，以点带面，通过纠正预防措施的执行，使管理体系正常而有效运行。</w:t>
            </w:r>
          </w:p>
          <w:p>
            <w:pPr>
              <w:adjustRightInd w:val="0"/>
              <w:spacing w:line="400" w:lineRule="exact"/>
              <w:textAlignment w:val="baseline"/>
              <w:rPr>
                <w:rFonts w:hint="eastAsia" w:ascii="宋体" w:hAnsi="宋体" w:eastAsia="宋体"/>
                <w:kern w:val="0"/>
                <w:szCs w:val="21"/>
              </w:rPr>
            </w:pPr>
            <w:r>
              <w:rPr>
                <w:rFonts w:hint="eastAsia" w:ascii="宋体" w:hAnsi="宋体" w:eastAsia="宋体"/>
                <w:kern w:val="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2020年6月10日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eastAsia="zh-CN"/>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hint="eastAsia" w:ascii="宋体" w:hAnsi="宋体"/>
          <w:b/>
          <w:color w:val="000000"/>
          <w:sz w:val="26"/>
          <w:szCs w:val="26"/>
        </w:rPr>
      </w:pPr>
    </w:p>
    <w:p>
      <w:pPr>
        <w:spacing w:beforeLines="50" w:line="360" w:lineRule="exact"/>
        <w:ind w:firstLine="261" w:firstLineChars="100"/>
        <w:rPr>
          <w:rFonts w:hint="eastAsia" w:ascii="宋体" w:hAns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QMS:许可范围内的马铃薯的种植和销售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01" w:firstLineChars="100"/>
        <w:rPr>
          <w:rFonts w:ascii="宋体" w:hAnsi="宋体"/>
          <w:b/>
          <w:color w:val="000000"/>
          <w:sz w:val="20"/>
          <w:szCs w:val="20"/>
          <w:lang w:val="en-GB"/>
        </w:rPr>
      </w:pPr>
    </w:p>
    <w:p>
      <w:pPr>
        <w:spacing w:line="300" w:lineRule="auto"/>
        <w:ind w:firstLine="201" w:firstLineChars="100"/>
        <w:rPr>
          <w:rFonts w:hint="eastAsia" w:ascii="宋体" w:hAnsi="宋体"/>
          <w:b/>
          <w:color w:val="000000"/>
          <w:sz w:val="20"/>
          <w:szCs w:val="20"/>
          <w:lang w:val="en-GB"/>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9504" behindDoc="0" locked="0" layoutInCell="1" allowOverlap="1">
            <wp:simplePos x="0" y="0"/>
            <wp:positionH relativeFrom="column">
              <wp:posOffset>1990090</wp:posOffset>
            </wp:positionH>
            <wp:positionV relativeFrom="paragraph">
              <wp:posOffset>360680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80" w:firstLineChars="400"/>
        <w:rPr>
          <w:rFonts w:hint="eastAsia" w:ascii="宋体" w:hAnsi="宋体" w:eastAsia="宋体"/>
          <w:b/>
          <w:color w:val="000000"/>
          <w:lang w:eastAsia="zh-CN"/>
        </w:rPr>
      </w:pPr>
      <w:r>
        <w:rPr>
          <w:sz w:val="22"/>
          <w:szCs w:val="22"/>
        </w:rPr>
        <w:drawing>
          <wp:anchor distT="0" distB="0" distL="114300" distR="114300" simplePos="0" relativeHeight="251678720" behindDoc="0" locked="0" layoutInCell="1" allowOverlap="1">
            <wp:simplePos x="0" y="0"/>
            <wp:positionH relativeFrom="column">
              <wp:posOffset>2842260</wp:posOffset>
            </wp:positionH>
            <wp:positionV relativeFrom="paragraph">
              <wp:posOffset>5080</wp:posOffset>
            </wp:positionV>
            <wp:extent cx="473710" cy="213360"/>
            <wp:effectExtent l="0" t="0" r="1397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7"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drawing>
          <wp:inline distT="0" distB="0" distL="114300" distR="114300">
            <wp:extent cx="586740" cy="281940"/>
            <wp:effectExtent l="0" t="0" r="7620" b="7620"/>
            <wp:docPr id="8" name="图片 8" descr="f6fd735552b8395386f6ed483d5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6fd735552b8395386f6ed483d58652"/>
                    <pic:cNvPicPr>
                      <a:picLocks noChangeAspect="1"/>
                    </pic:cNvPicPr>
                  </pic:nvPicPr>
                  <pic:blipFill>
                    <a:blip r:embed="rId8"/>
                    <a:stretch>
                      <a:fillRect/>
                    </a:stretch>
                  </pic:blipFill>
                  <pic:spPr>
                    <a:xfrm>
                      <a:off x="0" y="0"/>
                      <a:ext cx="586740" cy="281940"/>
                    </a:xfrm>
                    <a:prstGeom prst="rect">
                      <a:avLst/>
                    </a:prstGeom>
                  </pic:spPr>
                </pic:pic>
              </a:graphicData>
            </a:graphic>
          </wp:inline>
        </w:drawing>
      </w:r>
    </w:p>
    <w:p>
      <w:pPr>
        <w:ind w:firstLine="5644" w:firstLineChars="2677"/>
        <w:rPr>
          <w:rFonts w:hint="eastAsia" w:ascii="宋体" w:hAnsi="宋体"/>
          <w:b/>
          <w:color w:val="000000"/>
        </w:rPr>
      </w:pPr>
    </w:p>
    <w:p>
      <w:pPr>
        <w:ind w:firstLine="5644" w:firstLineChars="2677"/>
        <w:rPr>
          <w:rFonts w:hint="default" w:ascii="宋体" w:hAnsi="宋体" w:eastAsia="宋体"/>
          <w:b/>
          <w:bCs/>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 8 月5  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FF0000"/>
          <w:sz w:val="28"/>
          <w:szCs w:val="28"/>
        </w:rPr>
        <w:t>受审核</w:t>
      </w:r>
      <w:r>
        <w:rPr>
          <w:rFonts w:hint="eastAsia" w:eastAsia="隶书" w:cs="Times New Roman"/>
          <w:color w:val="FF0000"/>
          <w:sz w:val="28"/>
          <w:szCs w:val="28"/>
        </w:rPr>
        <w:t>方</w:t>
      </w:r>
      <w:r>
        <w:rPr>
          <w:rFonts w:hint="eastAsia" w:eastAsia="隶书" w:cs="Times New Roman"/>
          <w:color w:val="FF0000"/>
          <w:sz w:val="28"/>
          <w:szCs w:val="28"/>
          <w:lang w:eastAsia="zh-CN"/>
        </w:rPr>
        <w:t>（盖章）</w:t>
      </w:r>
      <w:r>
        <w:rPr>
          <w:rFonts w:hint="eastAsia" w:eastAsia="隶书" w:cs="Times New Roman"/>
          <w:color w:val="000000"/>
          <w:sz w:val="28"/>
          <w:szCs w:val="28"/>
        </w:rPr>
        <w:t>：凉山州良圆马铃薯种业有限责任公司</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hint="default" w:ascii="宋体"/>
                <w:color w:val="000000" w:themeColor="text1"/>
                <w:sz w:val="24"/>
                <w:szCs w:val="24"/>
                <w:lang w:val="en-US" w:eastAsia="zh-CN"/>
              </w:rPr>
            </w:pPr>
            <w:r>
              <w:rPr>
                <w:rFonts w:hint="eastAsia" w:ascii="宋体"/>
                <w:color w:val="000000" w:themeColor="text1"/>
                <w:sz w:val="24"/>
                <w:szCs w:val="24"/>
                <w:lang w:val="en-US" w:eastAsia="zh-CN"/>
              </w:rPr>
              <w:t>1</w:t>
            </w:r>
          </w:p>
          <w:p>
            <w:pPr>
              <w:pStyle w:val="5"/>
              <w:pBdr>
                <w:bottom w:val="none" w:color="auto" w:sz="0" w:space="0"/>
              </w:pBdr>
              <w:ind w:right="600"/>
              <w:jc w:val="left"/>
              <w:rPr>
                <w:rFonts w:hint="default" w:ascii="宋体"/>
                <w:color w:val="000000" w:themeColor="text1"/>
                <w:sz w:val="24"/>
                <w:szCs w:val="24"/>
                <w:lang w:val="en-US" w:eastAsia="zh-CN"/>
              </w:rPr>
            </w:pPr>
          </w:p>
          <w:p>
            <w:pPr>
              <w:pStyle w:val="5"/>
              <w:pBdr>
                <w:bottom w:val="none" w:color="auto" w:sz="0" w:space="0"/>
              </w:pBdr>
              <w:ind w:right="600"/>
              <w:jc w:val="left"/>
              <w:rPr>
                <w:rFonts w:hint="eastAsia" w:ascii="宋体"/>
                <w:color w:val="000000" w:themeColor="text1"/>
                <w:sz w:val="24"/>
                <w:szCs w:val="24"/>
                <w:lang w:val="en-US" w:eastAsia="zh-CN"/>
              </w:rPr>
            </w:pPr>
          </w:p>
          <w:p>
            <w:pPr>
              <w:pStyle w:val="5"/>
              <w:pBdr>
                <w:bottom w:val="none" w:color="auto" w:sz="0" w:space="0"/>
              </w:pBdr>
              <w:ind w:right="600"/>
              <w:jc w:val="left"/>
              <w:rPr>
                <w:rFonts w:hint="eastAsia" w:ascii="宋体"/>
                <w:color w:val="000000" w:themeColor="text1"/>
                <w:sz w:val="24"/>
                <w:szCs w:val="24"/>
                <w:lang w:val="en-US" w:eastAsia="zh-CN"/>
              </w:rPr>
            </w:pPr>
          </w:p>
          <w:p>
            <w:pPr>
              <w:pStyle w:val="5"/>
              <w:pBdr>
                <w:bottom w:val="none" w:color="auto" w:sz="0" w:space="0"/>
              </w:pBdr>
              <w:ind w:right="600"/>
              <w:jc w:val="left"/>
              <w:rPr>
                <w:rFonts w:hint="eastAsia" w:ascii="宋体"/>
                <w:color w:val="000000" w:themeColor="text1"/>
                <w:sz w:val="24"/>
                <w:szCs w:val="24"/>
                <w:lang w:val="en-US" w:eastAsia="zh-CN"/>
              </w:rPr>
            </w:pPr>
          </w:p>
          <w:p>
            <w:pPr>
              <w:pStyle w:val="5"/>
              <w:pBdr>
                <w:bottom w:val="none" w:color="auto" w:sz="0" w:space="0"/>
              </w:pBdr>
              <w:ind w:right="600"/>
              <w:jc w:val="left"/>
              <w:rPr>
                <w:rFonts w:hint="eastAsia" w:ascii="宋体"/>
                <w:color w:val="000000" w:themeColor="text1"/>
                <w:sz w:val="24"/>
                <w:szCs w:val="24"/>
                <w:lang w:val="en-US" w:eastAsia="zh-CN"/>
              </w:rPr>
            </w:pPr>
          </w:p>
          <w:p>
            <w:pPr>
              <w:pStyle w:val="5"/>
              <w:pBdr>
                <w:bottom w:val="none" w:color="auto" w:sz="0" w:space="0"/>
              </w:pBdr>
              <w:ind w:right="600"/>
              <w:jc w:val="left"/>
              <w:rPr>
                <w:rFonts w:hint="default" w:ascii="宋体"/>
                <w:color w:val="000000" w:themeColor="text1"/>
                <w:sz w:val="24"/>
                <w:szCs w:val="24"/>
                <w:lang w:val="en-US" w:eastAsia="zh-CN"/>
              </w:rPr>
            </w:pPr>
          </w:p>
        </w:tc>
        <w:tc>
          <w:tcPr>
            <w:tcW w:w="5681" w:type="dxa"/>
          </w:tcPr>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jc w:val="left"/>
              <w:rPr>
                <w:rFonts w:hint="eastAsia" w:ascii="宋体" w:hAnsi="宋体" w:eastAsia="宋体" w:cs="宋体"/>
                <w:color w:val="000000" w:themeColor="text1"/>
                <w:sz w:val="21"/>
                <w:szCs w:val="21"/>
                <w:lang w:val="en-US" w:eastAsia="zh-CN"/>
              </w:rPr>
            </w:pPr>
            <w:r>
              <w:rPr>
                <w:rFonts w:hint="eastAsia" w:ascii="宋体" w:hAnsi="宋体" w:cs="Times New Roman"/>
                <w:szCs w:val="21"/>
                <w:lang w:val="en-US" w:eastAsia="zh-CN"/>
              </w:rPr>
              <w:t>组织只对产品的外观、数量、等级进行验收。产品质量性能委托有资质的第三方（四川农业大学，提供委托协议见附件）进行检测，采取以三方出具的产品病毒检测报告为验收依据进行最终产品的核验。生产过程中的监控用到了温度计、电子天平等，查以上监视和测量设备，不能出具效期内的校准证书。</w:t>
            </w: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tc>
        <w:tc>
          <w:tcPr>
            <w:tcW w:w="1905"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7.1.5</w:t>
            </w: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p>
        </w:tc>
        <w:tc>
          <w:tcPr>
            <w:tcW w:w="1800"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jc w:val="left"/>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ISO9001：2015</w:t>
            </w:r>
          </w:p>
          <w:p>
            <w:pPr>
              <w:pStyle w:val="5"/>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580390</wp:posOffset>
                  </wp:positionH>
                  <wp:positionV relativeFrom="paragraph">
                    <wp:posOffset>16510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2020年08月05日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themeColor="text1"/>
                <w:sz w:val="22"/>
                <w:szCs w:val="22"/>
                <w14:textFill>
                  <w14:solidFill>
                    <w14:schemeClr w14:val="tx1"/>
                  </w14:solidFill>
                </w14:textFill>
              </w:rPr>
              <w:t>受审核方确认</w:t>
            </w:r>
            <w:r>
              <w:rPr>
                <w:rFonts w:hint="eastAsia"/>
                <w:b/>
                <w:color w:val="000000" w:themeColor="text1"/>
                <w:sz w:val="22"/>
                <w:szCs w:val="22"/>
                <w:lang w:eastAsia="zh-CN"/>
                <w14:textFill>
                  <w14:solidFill>
                    <w14:schemeClr w14:val="tx1"/>
                  </w14:solidFill>
                </w14:textFill>
              </w:rPr>
              <w:t>（签字）</w:t>
            </w:r>
            <w:r>
              <w:rPr>
                <w:rFonts w:hint="eastAsia"/>
                <w:b/>
                <w:color w:val="000000" w:themeColor="text1"/>
                <w:sz w:val="22"/>
                <w:szCs w:val="22"/>
                <w14:textFill>
                  <w14:solidFill>
                    <w14:schemeClr w14:val="tx1"/>
                  </w14:solidFill>
                </w14:textFill>
              </w:rPr>
              <w:t>：</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2020年08月05日</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570865</wp:posOffset>
                  </wp:positionH>
                  <wp:positionV relativeFrom="paragraph">
                    <wp:posOffset>62865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color w:val="000000"/>
                <w:szCs w:val="21"/>
              </w:rPr>
              <w:t>2020年08月0</w:t>
            </w:r>
            <w:r>
              <w:rPr>
                <w:rFonts w:hint="eastAsia"/>
                <w:color w:val="000000"/>
                <w:szCs w:val="21"/>
                <w:lang w:val="en-US" w:eastAsia="zh-CN"/>
              </w:rPr>
              <w:t>8</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D6790"/>
    <w:multiLevelType w:val="singleLevel"/>
    <w:tmpl w:val="66BD679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5D87773"/>
    <w:rsid w:val="09525DD4"/>
    <w:rsid w:val="0B1F24B2"/>
    <w:rsid w:val="0C8275B4"/>
    <w:rsid w:val="0D26506B"/>
    <w:rsid w:val="0D2F36FA"/>
    <w:rsid w:val="0F256DF2"/>
    <w:rsid w:val="0F6755B5"/>
    <w:rsid w:val="11AE09EA"/>
    <w:rsid w:val="11E16BA1"/>
    <w:rsid w:val="13905027"/>
    <w:rsid w:val="17602FC4"/>
    <w:rsid w:val="19286678"/>
    <w:rsid w:val="1B7C5D4F"/>
    <w:rsid w:val="1CB91E8D"/>
    <w:rsid w:val="1DB65754"/>
    <w:rsid w:val="1E9E0F00"/>
    <w:rsid w:val="1F8E0034"/>
    <w:rsid w:val="21912F89"/>
    <w:rsid w:val="266C2791"/>
    <w:rsid w:val="27B26E3C"/>
    <w:rsid w:val="2AF40DDA"/>
    <w:rsid w:val="2AF555A2"/>
    <w:rsid w:val="30416724"/>
    <w:rsid w:val="307C7F54"/>
    <w:rsid w:val="30813B68"/>
    <w:rsid w:val="35C312A4"/>
    <w:rsid w:val="37E2728F"/>
    <w:rsid w:val="3AE63FB5"/>
    <w:rsid w:val="3BEB3235"/>
    <w:rsid w:val="3D333694"/>
    <w:rsid w:val="3ECD0AA2"/>
    <w:rsid w:val="3EDB3C4E"/>
    <w:rsid w:val="3F2266C8"/>
    <w:rsid w:val="4173052A"/>
    <w:rsid w:val="41CA360A"/>
    <w:rsid w:val="42317FF1"/>
    <w:rsid w:val="44153258"/>
    <w:rsid w:val="46F219BF"/>
    <w:rsid w:val="49916B26"/>
    <w:rsid w:val="4AC10456"/>
    <w:rsid w:val="4BA85A03"/>
    <w:rsid w:val="4E7F1263"/>
    <w:rsid w:val="4F163653"/>
    <w:rsid w:val="4FA61DFE"/>
    <w:rsid w:val="533A3EED"/>
    <w:rsid w:val="53535CF4"/>
    <w:rsid w:val="53A760B3"/>
    <w:rsid w:val="5C1C5C3E"/>
    <w:rsid w:val="5CC237FA"/>
    <w:rsid w:val="5DEE6D1B"/>
    <w:rsid w:val="5F8D3C9B"/>
    <w:rsid w:val="5FE6444C"/>
    <w:rsid w:val="61C33276"/>
    <w:rsid w:val="62D838CB"/>
    <w:rsid w:val="640B1E0C"/>
    <w:rsid w:val="647F5BA5"/>
    <w:rsid w:val="656206D1"/>
    <w:rsid w:val="68724D10"/>
    <w:rsid w:val="6AF45348"/>
    <w:rsid w:val="6BBB1423"/>
    <w:rsid w:val="6BF216D2"/>
    <w:rsid w:val="6C3949E6"/>
    <w:rsid w:val="6C4E4063"/>
    <w:rsid w:val="6C8B60DE"/>
    <w:rsid w:val="6CB121D3"/>
    <w:rsid w:val="6DE854E7"/>
    <w:rsid w:val="701F7C21"/>
    <w:rsid w:val="7065173B"/>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character" w:customStyle="1" w:styleId="12">
    <w:name w:val="页眉 Char"/>
    <w:basedOn w:val="9"/>
    <w:link w:val="5"/>
    <w:qFormat/>
    <w:locked/>
    <w:uiPriority w:val="99"/>
    <w:rPr>
      <w:rFonts w:ascii="Calibri" w:hAnsi="Calibri" w:eastAsia="宋体" w:cs="Times New Roman"/>
      <w:sz w:val="18"/>
      <w:szCs w:val="18"/>
    </w:rPr>
  </w:style>
  <w:style w:type="character" w:customStyle="1" w:styleId="13">
    <w:name w:val="副标题 Char"/>
    <w:basedOn w:val="9"/>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1</TotalTime>
  <ScaleCrop>false</ScaleCrop>
  <LinksUpToDate>false</LinksUpToDate>
  <CharactersWithSpaces>8783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2020-08-21T15:32:46Z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