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2"/>
        <w:rPr>
          <w:rFonts w:hint="default" w:ascii="宋体" w:hAnsi="宋体" w:eastAsia="宋体" w:cs="Times New Roman"/>
          <w:bCs w:val="0"/>
          <w:spacing w:val="0"/>
          <w:kern w:val="2"/>
          <w:sz w:val="21"/>
          <w:szCs w:val="21"/>
          <w:lang w:val="en-US" w:eastAsia="zh-CN" w:bidi="ar-SA"/>
        </w:rPr>
      </w:pPr>
      <w:r>
        <w:rPr>
          <w:rFonts w:hint="eastAsia" w:ascii="宋体" w:hAnsi="宋体" w:eastAsia="宋体" w:cs="Times New Roman"/>
          <w:bCs w:val="0"/>
          <w:spacing w:val="0"/>
          <w:kern w:val="2"/>
          <w:sz w:val="21"/>
          <w:szCs w:val="21"/>
          <w:lang w:val="en-US" w:eastAsia="zh-CN" w:bidi="ar-SA"/>
        </w:rPr>
        <w:t>时间：</w:t>
      </w:r>
      <w:r>
        <w:rPr>
          <w:rFonts w:hint="eastAsia" w:ascii="宋体" w:hAnsi="宋体" w:cs="Times New Roman"/>
          <w:bCs w:val="0"/>
          <w:spacing w:val="0"/>
          <w:kern w:val="2"/>
          <w:sz w:val="21"/>
          <w:szCs w:val="21"/>
          <w:lang w:val="en-US" w:eastAsia="zh-CN" w:bidi="ar-SA"/>
        </w:rPr>
        <w:t>2020.7.27 审核部门：管理层、综合部、业务部    陪同人员：</w:t>
      </w:r>
      <w:bookmarkStart w:id="0" w:name="联系人"/>
      <w:r>
        <w:t>方少林</w:t>
      </w:r>
      <w:bookmarkEnd w:id="0"/>
      <w:r>
        <w:rPr>
          <w:rFonts w:hint="eastAsia" w:ascii="宋体" w:hAnsi="宋体" w:cs="Times New Roman"/>
          <w:bCs w:val="0"/>
          <w:spacing w:val="0"/>
          <w:kern w:val="2"/>
          <w:sz w:val="21"/>
          <w:szCs w:val="21"/>
          <w:lang w:val="en-US" w:eastAsia="zh-CN" w:bidi="ar-SA"/>
        </w:rPr>
        <w:t xml:space="preserve">    审核员：张心</w:t>
      </w:r>
    </w:p>
    <w:tbl>
      <w:tblPr>
        <w:tblStyle w:val="7"/>
        <w:tblpPr w:leftFromText="180" w:rightFromText="180" w:vertAnchor="text" w:horzAnchor="page" w:tblpX="740" w:tblpY="478"/>
        <w:tblOverlap w:val="never"/>
        <w:tblW w:w="15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261"/>
        <w:gridCol w:w="1741"/>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261"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741"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614"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261" w:type="dxa"/>
            <w:noWrap w:val="0"/>
            <w:vAlign w:val="top"/>
          </w:tcPr>
          <w:p>
            <w:pPr>
              <w:spacing w:line="400" w:lineRule="exact"/>
              <w:ind w:firstLine="420" w:firstLineChars="200"/>
              <w:rPr>
                <w:rFonts w:hint="eastAsia" w:ascii="宋体" w:hAnsi="宋体"/>
                <w:sz w:val="21"/>
                <w:szCs w:val="21"/>
                <w:lang w:eastAsia="zh-CN"/>
              </w:rPr>
            </w:pPr>
            <w:bookmarkStart w:id="1" w:name="组织名称"/>
            <w:r>
              <w:rPr>
                <w:color w:val="000000"/>
                <w:szCs w:val="21"/>
              </w:rPr>
              <w:t>凉山州良圆马铃薯种业有限责任公司</w:t>
            </w:r>
            <w:bookmarkEnd w:id="1"/>
            <w:r>
              <w:rPr>
                <w:rFonts w:hint="eastAsia" w:ascii="宋体" w:hAnsi="宋体"/>
                <w:sz w:val="21"/>
                <w:szCs w:val="21"/>
              </w:rPr>
              <w:t>是一家专业从事</w:t>
            </w:r>
            <w:bookmarkStart w:id="2" w:name="审核范围"/>
            <w:r>
              <w:rPr>
                <w:rFonts w:hint="eastAsia" w:ascii="宋体" w:hAnsi="宋体"/>
                <w:szCs w:val="21"/>
              </w:rPr>
              <w:t>许可范围内的马铃薯的种植和销售</w:t>
            </w:r>
            <w:bookmarkEnd w:id="2"/>
            <w:r>
              <w:rPr>
                <w:rFonts w:hint="eastAsia" w:ascii="宋体" w:hAnsi="宋体"/>
                <w:sz w:val="21"/>
                <w:szCs w:val="21"/>
              </w:rPr>
              <w:t>的公司</w:t>
            </w:r>
            <w:r>
              <w:rPr>
                <w:rFonts w:hint="eastAsia"/>
                <w:szCs w:val="22"/>
              </w:rPr>
              <w:t>。</w:t>
            </w:r>
            <w:r>
              <w:rPr>
                <w:rFonts w:hint="eastAsia"/>
                <w:szCs w:val="22"/>
                <w:lang w:eastAsia="zh-CN"/>
              </w:rPr>
              <w:t>产品主要</w:t>
            </w:r>
            <w:r>
              <w:rPr>
                <w:rFonts w:hint="eastAsia"/>
                <w:szCs w:val="22"/>
                <w:lang w:val="de-DE" w:eastAsia="zh-CN"/>
              </w:rPr>
              <w:t>为脱毒马铃薯试管苗、原原种的生产</w:t>
            </w:r>
            <w:r>
              <w:rPr>
                <w:rFonts w:hint="eastAsia"/>
                <w:szCs w:val="22"/>
                <w:lang w:val="de-DE"/>
              </w:rPr>
              <w:t>。公司坐落于</w:t>
            </w:r>
            <w:bookmarkStart w:id="3" w:name="生产地址"/>
            <w:r>
              <w:t>四川省凉山州西昌市安宁镇机场路133号</w:t>
            </w:r>
            <w:bookmarkEnd w:id="3"/>
            <w:r>
              <w:rPr>
                <w:rFonts w:hint="eastAsia" w:ascii="宋体" w:hAnsi="宋体"/>
                <w:sz w:val="21"/>
                <w:szCs w:val="21"/>
                <w:lang w:eastAsia="zh-CN"/>
              </w:rPr>
              <w:t>，</w:t>
            </w:r>
            <w:r>
              <w:rPr>
                <w:rFonts w:hint="eastAsia" w:ascii="宋体" w:hAnsi="宋体"/>
                <w:sz w:val="21"/>
                <w:szCs w:val="21"/>
              </w:rPr>
              <w:t>生产经营状况</w:t>
            </w:r>
            <w:r>
              <w:rPr>
                <w:rFonts w:hint="eastAsia" w:ascii="宋体" w:hAnsi="宋体"/>
                <w:sz w:val="21"/>
                <w:szCs w:val="21"/>
                <w:lang w:eastAsia="zh-CN"/>
              </w:rPr>
              <w:t>良好。</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远程审核核实该公司目前成立了三个部门：</w:t>
            </w:r>
            <w:r>
              <w:rPr>
                <w:rFonts w:hint="eastAsia" w:ascii="宋体" w:hAnsi="宋体" w:cs="Times New Roman"/>
                <w:bCs w:val="0"/>
                <w:spacing w:val="0"/>
                <w:kern w:val="2"/>
                <w:sz w:val="21"/>
                <w:szCs w:val="21"/>
                <w:lang w:val="en-US" w:eastAsia="zh-CN" w:bidi="ar-SA"/>
              </w:rPr>
              <w:t>综合部、生产部、营销部</w:t>
            </w:r>
            <w:r>
              <w:rPr>
                <w:rFonts w:hint="eastAsia" w:ascii="宋体" w:hAnsi="宋体"/>
                <w:sz w:val="21"/>
                <w:szCs w:val="21"/>
                <w:lang w:eastAsia="zh-CN"/>
              </w:rPr>
              <w:t xml:space="preserve">  抽查：组织机构图、职能分配表、职责描述，基本保持一致。</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远程与负责人沟通</w:t>
            </w:r>
            <w:r>
              <w:rPr>
                <w:rFonts w:hint="eastAsia" w:ascii="宋体" w:hAnsi="宋体"/>
                <w:sz w:val="21"/>
                <w:szCs w:val="21"/>
              </w:rPr>
              <w:t>核实：生产经营场所为</w:t>
            </w:r>
            <w:r>
              <w:t>四川省凉山州西昌市安宁镇机场路133号</w:t>
            </w:r>
            <w:r>
              <w:rPr>
                <w:rFonts w:hint="eastAsia" w:ascii="宋体" w:hAnsi="宋体"/>
                <w:sz w:val="21"/>
                <w:szCs w:val="21"/>
                <w:lang w:eastAsia="zh-CN"/>
              </w:rPr>
              <w:t>，</w:t>
            </w:r>
            <w:r>
              <w:rPr>
                <w:rFonts w:hint="eastAsia" w:ascii="宋体" w:hAnsi="宋体"/>
                <w:sz w:val="21"/>
                <w:szCs w:val="21"/>
              </w:rPr>
              <w:t>与任务书一致。</w:t>
            </w:r>
          </w:p>
          <w:p>
            <w:pPr>
              <w:spacing w:line="400" w:lineRule="exact"/>
              <w:ind w:firstLine="420" w:firstLineChars="200"/>
              <w:rPr>
                <w:rFonts w:hint="eastAsia" w:ascii="宋体" w:hAnsi="宋体"/>
                <w:sz w:val="21"/>
                <w:szCs w:val="21"/>
              </w:rPr>
            </w:pPr>
            <w:r>
              <w:rPr>
                <w:rFonts w:hint="eastAsia" w:ascii="宋体" w:hAnsi="宋体"/>
                <w:sz w:val="21"/>
                <w:szCs w:val="21"/>
              </w:rPr>
              <w:t>经确认认证范围为：</w:t>
            </w:r>
            <w:r>
              <w:rPr>
                <w:rFonts w:hint="eastAsia" w:ascii="宋体" w:hAnsi="宋体"/>
                <w:szCs w:val="21"/>
              </w:rPr>
              <w:t>许可范围内的马铃薯的种植和销售</w:t>
            </w:r>
            <w:r>
              <w:rPr>
                <w:rFonts w:hint="eastAsia" w:ascii="宋体" w:hAnsi="宋体"/>
                <w:sz w:val="21"/>
                <w:szCs w:val="21"/>
              </w:rPr>
              <w:t>，与任务书一致。</w:t>
            </w:r>
          </w:p>
          <w:p>
            <w:pPr>
              <w:spacing w:line="400" w:lineRule="exact"/>
              <w:ind w:firstLine="420" w:firstLineChars="200"/>
              <w:rPr>
                <w:rFonts w:hint="eastAsia" w:ascii="宋体" w:hAnsi="宋体" w:eastAsia="宋体" w:cs="宋体"/>
                <w:color w:val="000000"/>
                <w:szCs w:val="21"/>
                <w:lang w:eastAsia="zh-CN"/>
              </w:rPr>
            </w:pPr>
            <w:r>
              <w:rPr>
                <w:rFonts w:hint="eastAsia" w:ascii="宋体" w:hAnsi="宋体"/>
                <w:sz w:val="21"/>
                <w:szCs w:val="21"/>
              </w:rPr>
              <w:t>询问，主</w:t>
            </w:r>
            <w:r>
              <w:rPr>
                <w:rFonts w:hint="eastAsia" w:ascii="宋体" w:hAnsi="宋体"/>
                <w:szCs w:val="21"/>
              </w:rPr>
              <w:t>要</w:t>
            </w:r>
            <w:r>
              <w:rPr>
                <w:rFonts w:hint="eastAsia" w:ascii="宋体" w:hAnsi="宋体"/>
                <w:sz w:val="21"/>
                <w:szCs w:val="21"/>
              </w:rPr>
              <w:t>设备为</w:t>
            </w:r>
            <w:r>
              <w:rPr>
                <w:rFonts w:hint="eastAsia" w:ascii="宋体" w:hAnsi="宋体"/>
                <w:sz w:val="21"/>
                <w:szCs w:val="21"/>
                <w:lang w:eastAsia="zh-CN"/>
              </w:rPr>
              <w:t>：</w:t>
            </w:r>
            <w:r>
              <w:rPr>
                <w:rFonts w:hint="eastAsia" w:ascii="宋体" w:hAnsi="宋体" w:cs="宋体"/>
                <w:color w:val="000000"/>
                <w:szCs w:val="21"/>
              </w:rPr>
              <w:t>接种盘</w:t>
            </w:r>
            <w:r>
              <w:rPr>
                <w:rFonts w:hint="eastAsia" w:ascii="宋体" w:hAnsi="宋体" w:cs="宋体"/>
                <w:color w:val="000000"/>
                <w:szCs w:val="21"/>
                <w:lang w:eastAsia="zh-CN"/>
              </w:rPr>
              <w:t>、</w:t>
            </w:r>
            <w:r>
              <w:rPr>
                <w:rFonts w:hint="eastAsia" w:ascii="宋体" w:hAnsi="宋体" w:cs="宋体"/>
                <w:color w:val="000000"/>
                <w:szCs w:val="21"/>
              </w:rPr>
              <w:t>培养皿</w:t>
            </w:r>
            <w:r>
              <w:rPr>
                <w:rFonts w:hint="eastAsia" w:ascii="宋体" w:hAnsi="宋体" w:cs="宋体"/>
                <w:color w:val="000000"/>
                <w:szCs w:val="21"/>
                <w:lang w:eastAsia="zh-CN"/>
              </w:rPr>
              <w:t>、蒸汽灭菌器、网室、收薯机及种植工具（塑料筐、弯剪、镊子、铲子、喷雾器）</w:t>
            </w:r>
            <w:r>
              <w:rPr>
                <w:rFonts w:hint="eastAsia" w:ascii="宋体" w:hAnsi="宋体"/>
                <w:sz w:val="21"/>
                <w:szCs w:val="21"/>
                <w:lang w:val="en-US" w:eastAsia="zh-CN"/>
              </w:rPr>
              <w:t>等</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关键过程</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特殊过程：种植过程。</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管</w:t>
            </w:r>
            <w:r>
              <w:rPr>
                <w:rFonts w:hint="eastAsia" w:ascii="宋体" w:hAnsi="宋体"/>
                <w:sz w:val="21"/>
                <w:szCs w:val="21"/>
              </w:rPr>
              <w:t>理体系运行</w:t>
            </w:r>
            <w:r>
              <w:rPr>
                <w:rFonts w:hint="eastAsia" w:ascii="宋体" w:hAnsi="宋体"/>
                <w:sz w:val="21"/>
                <w:szCs w:val="21"/>
                <w:lang w:eastAsia="zh-CN"/>
              </w:rPr>
              <w:t>时间：2019年11月18日</w:t>
            </w:r>
          </w:p>
          <w:p>
            <w:pPr>
              <w:spacing w:line="400" w:lineRule="exact"/>
              <w:ind w:firstLine="420" w:firstLineChars="200"/>
              <w:rPr>
                <w:rFonts w:hint="eastAsia" w:ascii="宋体" w:hAnsi="宋体"/>
                <w:sz w:val="21"/>
                <w:szCs w:val="21"/>
              </w:rPr>
            </w:pPr>
            <w:r>
              <w:rPr>
                <w:rFonts w:hint="eastAsia" w:ascii="宋体" w:hAnsi="宋体"/>
                <w:sz w:val="21"/>
                <w:szCs w:val="21"/>
              </w:rPr>
              <w:t>组织实际与管理体系文件化信息描述基本一致。有管理层、</w:t>
            </w:r>
            <w:r>
              <w:rPr>
                <w:rFonts w:hint="eastAsia" w:ascii="宋体" w:hAnsi="宋体" w:cs="Times New Roman"/>
                <w:bCs w:val="0"/>
                <w:spacing w:val="0"/>
                <w:kern w:val="2"/>
                <w:sz w:val="21"/>
                <w:szCs w:val="21"/>
                <w:lang w:val="en-US" w:eastAsia="zh-CN" w:bidi="ar-SA"/>
              </w:rPr>
              <w:t>综合部、生产部、营销部</w:t>
            </w:r>
          </w:p>
          <w:p>
            <w:pPr>
              <w:spacing w:line="400" w:lineRule="exact"/>
              <w:ind w:firstLine="420" w:firstLineChars="200"/>
              <w:rPr>
                <w:rFonts w:hint="eastAsia" w:ascii="宋体" w:hAnsi="宋体"/>
                <w:sz w:val="21"/>
                <w:szCs w:val="21"/>
              </w:rPr>
            </w:pPr>
            <w:r>
              <w:rPr>
                <w:rFonts w:hint="eastAsia" w:ascii="宋体" w:hAnsi="宋体"/>
                <w:sz w:val="21"/>
                <w:szCs w:val="21"/>
              </w:rPr>
              <w:t>产品流程见《工艺流程》</w:t>
            </w:r>
          </w:p>
          <w:p>
            <w:pPr>
              <w:spacing w:line="400" w:lineRule="exact"/>
              <w:ind w:firstLine="420" w:firstLineChars="200"/>
              <w:jc w:val="left"/>
              <w:rPr>
                <w:rFonts w:hint="eastAsia" w:ascii="宋体" w:hAnsi="宋体"/>
                <w:sz w:val="21"/>
                <w:szCs w:val="21"/>
              </w:rPr>
            </w:pPr>
            <w:r>
              <w:rPr>
                <w:rFonts w:hint="eastAsia" w:ascii="宋体" w:hAnsi="宋体"/>
                <w:sz w:val="21"/>
                <w:szCs w:val="21"/>
              </w:rPr>
              <w:t>查，管理体系文件名称：质量手册，程序文件。</w:t>
            </w:r>
          </w:p>
          <w:p>
            <w:pPr>
              <w:spacing w:line="400" w:lineRule="exact"/>
              <w:ind w:firstLine="420" w:firstLineChars="200"/>
              <w:jc w:val="left"/>
              <w:rPr>
                <w:rFonts w:hint="eastAsia"/>
                <w:szCs w:val="22"/>
              </w:rPr>
            </w:pPr>
            <w:r>
              <w:rPr>
                <w:rFonts w:hint="eastAsia"/>
                <w:szCs w:val="22"/>
              </w:rPr>
              <w:t>查见《相关方要求识别和控制》</w:t>
            </w:r>
          </w:p>
          <w:p>
            <w:pPr>
              <w:spacing w:line="400" w:lineRule="exact"/>
              <w:ind w:firstLine="420" w:firstLineChars="200"/>
              <w:jc w:val="left"/>
              <w:rPr>
                <w:rFonts w:hint="eastAsia"/>
                <w:sz w:val="21"/>
                <w:szCs w:val="21"/>
              </w:rPr>
            </w:pPr>
            <w:r>
              <w:rPr>
                <w:rFonts w:hint="eastAsia"/>
                <w:szCs w:val="22"/>
              </w:rPr>
              <w:t>相关方：有员工、银行、主管部门、供应商、客户等。</w:t>
            </w:r>
          </w:p>
        </w:tc>
        <w:tc>
          <w:tcPr>
            <w:tcW w:w="1741"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hint="eastAsia"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pStyle w:val="2"/>
              <w:rPr>
                <w:rFonts w:hint="eastAsia" w:ascii="宋体" w:hAnsi="宋体"/>
                <w:sz w:val="21"/>
                <w:szCs w:val="21"/>
              </w:rPr>
            </w:pPr>
            <w:r>
              <w:rPr>
                <w:rFonts w:hint="eastAsia" w:ascii="宋体" w:hAnsi="宋体"/>
                <w:sz w:val="21"/>
                <w:szCs w:val="21"/>
              </w:rPr>
              <w:t>执行的产品标准（QMS）</w:t>
            </w:r>
          </w:p>
          <w:p>
            <w:pPr>
              <w:pStyle w:val="2"/>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261"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w:t>
            </w:r>
            <w:r>
              <w:rPr>
                <w:rFonts w:hint="eastAsia" w:ascii="宋体" w:hAnsi="宋体"/>
                <w:sz w:val="21"/>
                <w:szCs w:val="21"/>
                <w:lang w:eastAsia="zh-CN"/>
              </w:rPr>
              <w:t>消费者权益保护法</w:t>
            </w:r>
            <w:r>
              <w:rPr>
                <w:rFonts w:hint="eastAsia" w:ascii="宋体" w:hAnsi="宋体"/>
                <w:sz w:val="21"/>
                <w:szCs w:val="21"/>
              </w:rPr>
              <w:t>、中华人民共和国产品质量法等。</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lang w:eastAsia="zh-CN"/>
              </w:rPr>
            </w:pPr>
            <w:r>
              <w:rPr>
                <w:rFonts w:hint="eastAsia" w:ascii="宋体" w:hAnsi="宋体" w:eastAsia="宋体"/>
                <w:szCs w:val="21"/>
                <w:lang w:val="en-US" w:eastAsia="zh-CN"/>
              </w:rPr>
              <w:t xml:space="preserve"> GB18133-2012马铃薯种薯、四川DB51/T821-2008脱毒种薯标准</w:t>
            </w:r>
            <w:r>
              <w:rPr>
                <w:rFonts w:hint="eastAsia" w:ascii="宋体" w:hAnsi="宋体"/>
                <w:sz w:val="21"/>
                <w:szCs w:val="21"/>
                <w:lang w:eastAsia="zh-CN"/>
              </w:rPr>
              <w:t>及顾客的</w:t>
            </w:r>
            <w:r>
              <w:rPr>
                <w:rFonts w:hint="eastAsia" w:ascii="宋体" w:hAnsi="宋体"/>
                <w:sz w:val="21"/>
                <w:szCs w:val="21"/>
              </w:rPr>
              <w:t>合同技术</w:t>
            </w:r>
            <w:r>
              <w:rPr>
                <w:rFonts w:hint="eastAsia" w:ascii="宋体" w:hAnsi="宋体"/>
                <w:sz w:val="21"/>
                <w:szCs w:val="21"/>
                <w:lang w:eastAsia="zh-CN"/>
              </w:rPr>
              <w:t>要求</w:t>
            </w:r>
          </w:p>
          <w:p>
            <w:pPr>
              <w:widowControl/>
              <w:spacing w:line="400" w:lineRule="exact"/>
              <w:rPr>
                <w:rFonts w:hint="eastAsia"/>
                <w:b/>
                <w:sz w:val="20"/>
                <w:szCs w:val="22"/>
                <w:lang w:val="en-US" w:eastAsia="zh-CN"/>
              </w:rPr>
            </w:pPr>
          </w:p>
          <w:p>
            <w:pPr>
              <w:widowControl/>
              <w:spacing w:line="400" w:lineRule="exact"/>
              <w:rPr>
                <w:rFonts w:hint="eastAsia" w:ascii="宋体" w:hAnsi="宋体"/>
                <w:sz w:val="21"/>
                <w:szCs w:val="21"/>
              </w:rPr>
            </w:pPr>
            <w:r>
              <w:rPr>
                <w:rFonts w:hint="eastAsia" w:ascii="宋体" w:hAnsi="宋体" w:eastAsia="宋体"/>
                <w:sz w:val="21"/>
                <w:szCs w:val="21"/>
                <w:lang w:val="en-US" w:eastAsia="zh-CN"/>
              </w:rPr>
              <w:t>2020年暂无抽检。</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687" w:type="dxa"/>
            <w:noWrap w:val="0"/>
            <w:vAlign w:val="top"/>
          </w:tcPr>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生产工艺</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p>
          <w:p>
            <w:pPr>
              <w:pStyle w:val="2"/>
              <w:rPr>
                <w:rFonts w:hint="eastAsia"/>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不适用条款的确认</w:t>
            </w:r>
          </w:p>
          <w:p>
            <w:pPr>
              <w:spacing w:line="360" w:lineRule="auto"/>
              <w:rPr>
                <w:rFonts w:hint="eastAsia" w:ascii="宋体" w:hAnsi="宋体" w:eastAsia="宋体"/>
                <w:szCs w:val="22"/>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外包的识别</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质量目标（QMS）</w:t>
            </w:r>
          </w:p>
        </w:tc>
        <w:tc>
          <w:tcPr>
            <w:tcW w:w="9261" w:type="dxa"/>
            <w:noWrap w:val="0"/>
            <w:vAlign w:val="top"/>
          </w:tcPr>
          <w:p>
            <w:pPr>
              <w:spacing w:line="360" w:lineRule="auto"/>
              <w:rPr>
                <w:rFonts w:hint="eastAsia" w:ascii="宋体" w:hAnsi="宋体" w:eastAsia="宋体"/>
                <w:szCs w:val="22"/>
                <w:lang w:val="en-US" w:eastAsia="zh-CN"/>
              </w:rPr>
            </w:pPr>
            <w:r>
              <w:rPr>
                <w:rFonts w:hint="eastAsia" w:ascii="宋体" w:hAnsi="宋体"/>
                <w:szCs w:val="21"/>
              </w:rPr>
              <w:t>许可范围内的马铃薯的种植和销售</w:t>
            </w:r>
            <w:r>
              <w:rPr>
                <w:rFonts w:hint="eastAsia" w:ascii="宋体" w:hAnsi="宋体" w:eastAsia="宋体"/>
                <w:szCs w:val="22"/>
                <w:lang w:val="en-US" w:eastAsia="zh-CN"/>
              </w:rPr>
              <w:t>工艺流程：</w:t>
            </w:r>
          </w:p>
          <w:p>
            <w:pPr>
              <w:spacing w:line="400" w:lineRule="exact"/>
              <w:rPr>
                <w:rFonts w:hint="eastAsia" w:ascii="宋体" w:hAnsi="宋体" w:eastAsia="宋体"/>
                <w:szCs w:val="21"/>
                <w:lang w:val="en-US" w:eastAsia="zh-CN"/>
              </w:rPr>
            </w:pPr>
            <w:r>
              <w:rPr>
                <w:rFonts w:hint="eastAsia" w:ascii="宋体" w:hAnsi="宋体" w:eastAsia="宋体"/>
                <w:szCs w:val="21"/>
                <w:lang w:val="en-US" w:eastAsia="zh-CN"/>
              </w:rPr>
              <w:t>签订合同---引种---试管苗扩繁---试管苗病毒检测--进入网室无土栽培--马铃薯原原种病毒检测--（入库）交付客户；</w:t>
            </w:r>
          </w:p>
          <w:p>
            <w:pPr>
              <w:spacing w:line="400" w:lineRule="exact"/>
              <w:rPr>
                <w:rFonts w:hint="eastAsia" w:ascii="宋体" w:hAnsi="宋体" w:eastAsia="宋体"/>
                <w:szCs w:val="21"/>
                <w:lang w:val="en-US" w:eastAsia="zh-CN"/>
              </w:rPr>
            </w:pPr>
            <w:r>
              <w:rPr>
                <w:rFonts w:hint="eastAsia" w:ascii="宋体" w:hAnsi="宋体" w:eastAsia="宋体"/>
                <w:szCs w:val="21"/>
                <w:lang w:val="en-US" w:eastAsia="zh-CN"/>
              </w:rPr>
              <w:t>需确认/特殊过程：种植过程</w:t>
            </w:r>
          </w:p>
          <w:p>
            <w:pPr>
              <w:pStyle w:val="2"/>
              <w:rPr>
                <w:rFonts w:hint="eastAsia" w:ascii="宋体" w:hAnsi="宋体" w:eastAsia="宋体" w:cs="Times New Roman"/>
                <w:bCs w:val="0"/>
                <w:color w:val="0000FF"/>
                <w:spacing w:val="0"/>
                <w:kern w:val="2"/>
                <w:sz w:val="21"/>
                <w:szCs w:val="22"/>
                <w:lang w:val="en-US" w:eastAsia="zh-CN" w:bidi="ar-SA"/>
              </w:rPr>
            </w:pPr>
          </w:p>
          <w:p>
            <w:pPr>
              <w:autoSpaceDE w:val="0"/>
              <w:autoSpaceDN w:val="0"/>
              <w:adjustRightInd w:val="0"/>
              <w:snapToGrid w:val="0"/>
              <w:spacing w:line="500" w:lineRule="exact"/>
              <w:ind w:firstLine="420" w:firstLineChars="200"/>
              <w:jc w:val="left"/>
              <w:rPr>
                <w:rFonts w:hint="eastAsia" w:ascii="宋体" w:hAnsi="宋体"/>
                <w:sz w:val="21"/>
                <w:szCs w:val="21"/>
                <w:lang w:eastAsia="zh-CN"/>
              </w:rPr>
            </w:pPr>
            <w:r>
              <w:rPr>
                <w:rFonts w:hint="eastAsia" w:ascii="宋体" w:hAnsi="宋体" w:cs="宋体"/>
                <w:szCs w:val="21"/>
                <w:lang w:val="en-US" w:eastAsia="zh-CN"/>
              </w:rPr>
              <w:t>公司</w:t>
            </w:r>
            <w:r>
              <w:rPr>
                <w:rFonts w:hint="eastAsia" w:ascii="宋体" w:hAnsi="宋体" w:cs="宋体"/>
                <w:szCs w:val="21"/>
                <w:lang w:eastAsia="zh-CN"/>
              </w:rPr>
              <w:t>马铃薯的种植按相关标准、规范执行，种植</w:t>
            </w:r>
            <w:r>
              <w:rPr>
                <w:rFonts w:hint="eastAsia" w:ascii="宋体" w:hAnsi="宋体" w:cs="宋体"/>
                <w:szCs w:val="21"/>
                <w:lang w:val="en-US" w:eastAsia="zh-CN"/>
              </w:rPr>
              <w:t>工艺固定成熟，暂不涉及新的马铃薯品种的</w:t>
            </w:r>
            <w:r>
              <w:rPr>
                <w:rFonts w:hint="eastAsia" w:ascii="宋体" w:hAnsi="宋体" w:cs="宋体"/>
                <w:szCs w:val="21"/>
              </w:rPr>
              <w:t>设计与开发</w:t>
            </w:r>
            <w:r>
              <w:rPr>
                <w:rFonts w:hint="eastAsia" w:ascii="宋体" w:hAnsi="宋体" w:cs="宋体"/>
                <w:szCs w:val="21"/>
                <w:lang w:eastAsia="zh-CN"/>
              </w:rPr>
              <w:t>，</w:t>
            </w:r>
            <w:r>
              <w:rPr>
                <w:rFonts w:hint="eastAsia" w:ascii="宋体" w:hAnsi="宋体" w:cs="宋体"/>
                <w:szCs w:val="21"/>
                <w:lang w:val="en-US" w:eastAsia="zh-CN"/>
              </w:rPr>
              <w:t>故8.3条款不适用</w:t>
            </w:r>
            <w:r>
              <w:rPr>
                <w:rFonts w:hint="eastAsia" w:ascii="宋体" w:hAnsi="宋体" w:cs="宋体"/>
                <w:szCs w:val="21"/>
              </w:rPr>
              <w:t>。</w:t>
            </w:r>
            <w:r>
              <w:rPr>
                <w:rFonts w:hint="eastAsia" w:ascii="宋体" w:hAnsi="宋体" w:cs="宋体"/>
                <w:szCs w:val="21"/>
                <w:lang w:eastAsia="zh-CN"/>
              </w:rPr>
              <w:t>该条款的不适用，不影响提供满足顾客要求及法律法规要求的产品的责任。</w:t>
            </w:r>
          </w:p>
          <w:p>
            <w:pPr>
              <w:pStyle w:val="2"/>
              <w:rPr>
                <w:rFonts w:hint="eastAsia" w:ascii="宋体" w:hAnsi="宋体" w:eastAsia="宋体" w:cs="Times New Roman"/>
                <w:bCs w:val="0"/>
                <w:spacing w:val="0"/>
                <w:kern w:val="2"/>
                <w:sz w:val="21"/>
                <w:szCs w:val="21"/>
                <w:lang w:val="en-US" w:eastAsia="zh-CN" w:bidi="ar-SA"/>
              </w:rPr>
            </w:pPr>
          </w:p>
          <w:p>
            <w:pPr>
              <w:spacing w:line="360" w:lineRule="auto"/>
              <w:rPr>
                <w:rFonts w:hint="eastAsia" w:ascii="宋体" w:hAnsi="宋体" w:eastAsia="宋体" w:cs="Times New Roman"/>
                <w:bCs w:val="0"/>
                <w:spacing w:val="0"/>
                <w:kern w:val="2"/>
                <w:sz w:val="21"/>
                <w:szCs w:val="21"/>
                <w:lang w:val="en-US" w:eastAsia="zh-CN" w:bidi="ar-SA"/>
              </w:rPr>
            </w:pPr>
            <w:r>
              <w:rPr>
                <w:rFonts w:hint="eastAsia" w:ascii="宋体" w:hAnsi="宋体" w:cs="Times New Roman"/>
                <w:bCs w:val="0"/>
                <w:spacing w:val="0"/>
                <w:kern w:val="2"/>
                <w:sz w:val="21"/>
                <w:szCs w:val="21"/>
                <w:lang w:val="en-US" w:eastAsia="zh-CN" w:bidi="ar-SA"/>
              </w:rPr>
              <w:t>产品委托检验</w:t>
            </w:r>
          </w:p>
          <w:p>
            <w:pPr>
              <w:spacing w:line="360" w:lineRule="auto"/>
              <w:rPr>
                <w:rFonts w:hint="eastAsia" w:ascii="宋体" w:hAnsi="宋体"/>
                <w:szCs w:val="21"/>
                <w:lang w:val="en-US" w:eastAsia="zh-CN"/>
              </w:rPr>
            </w:pPr>
            <w:r>
              <w:rPr>
                <w:rFonts w:hint="eastAsia" w:ascii="宋体" w:hAnsi="宋体"/>
                <w:szCs w:val="21"/>
                <w:lang w:val="en-US" w:eastAsia="zh-CN"/>
              </w:rPr>
              <w:t>1 产品交付合格率≥95%</w:t>
            </w:r>
          </w:p>
          <w:p>
            <w:pPr>
              <w:spacing w:line="360" w:lineRule="auto"/>
              <w:rPr>
                <w:rFonts w:hint="eastAsia" w:ascii="宋体" w:hAnsi="宋体"/>
                <w:szCs w:val="21"/>
                <w:lang w:val="en-US" w:eastAsia="zh-CN"/>
              </w:rPr>
            </w:pPr>
            <w:r>
              <w:rPr>
                <w:rFonts w:hint="eastAsia" w:ascii="宋体" w:hAnsi="宋体"/>
                <w:szCs w:val="21"/>
                <w:lang w:val="en-US" w:eastAsia="zh-CN"/>
              </w:rPr>
              <w:t>2 产品交付履约率100%</w:t>
            </w:r>
          </w:p>
          <w:p>
            <w:pPr>
              <w:spacing w:line="360" w:lineRule="auto"/>
              <w:rPr>
                <w:rFonts w:hint="eastAsia" w:ascii="宋体" w:hAnsi="宋体"/>
                <w:szCs w:val="21"/>
                <w:lang w:val="en-US" w:eastAsia="zh-CN"/>
              </w:rPr>
            </w:pPr>
            <w:r>
              <w:rPr>
                <w:rFonts w:hint="eastAsia" w:ascii="宋体" w:hAnsi="宋体"/>
                <w:szCs w:val="21"/>
                <w:lang w:val="en-US" w:eastAsia="zh-CN"/>
              </w:rPr>
              <w:t>3 顾客满意度≥95%</w:t>
            </w:r>
          </w:p>
          <w:p>
            <w:pPr>
              <w:spacing w:line="360" w:lineRule="auto"/>
              <w:rPr>
                <w:rFonts w:hint="eastAsia" w:ascii="宋体" w:hAnsi="宋体" w:eastAsia="宋体"/>
                <w:szCs w:val="22"/>
                <w:lang w:val="en-US" w:eastAsia="zh-CN"/>
              </w:rPr>
            </w:pP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261"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无</w:t>
            </w:r>
          </w:p>
          <w:p>
            <w:pPr>
              <w:rPr>
                <w:rFonts w:hint="eastAsia" w:ascii="宋体" w:hAnsi="宋体"/>
                <w:color w:val="000000" w:themeColor="text1"/>
                <w:sz w:val="21"/>
                <w:szCs w:val="21"/>
                <w:lang w:val="en-US" w:eastAsia="zh-CN"/>
                <w14:textFill>
                  <w14:solidFill>
                    <w14:schemeClr w14:val="tx1"/>
                  </w14:solidFill>
                </w14:textFill>
              </w:rPr>
            </w:pPr>
          </w:p>
          <w:p>
            <w:pPr>
              <w:rPr>
                <w:rFonts w:hint="eastAsia"/>
                <w:color w:val="FF0000"/>
                <w:sz w:val="21"/>
                <w:szCs w:val="21"/>
              </w:rPr>
            </w:pPr>
            <w:r>
              <w:rPr>
                <w:rFonts w:hint="eastAsia" w:ascii="宋体" w:hAnsi="宋体"/>
                <w:color w:val="000000" w:themeColor="text1"/>
                <w:sz w:val="21"/>
                <w:szCs w:val="21"/>
                <w:lang w:val="en-US" w:eastAsia="zh-CN"/>
                <w14:textFill>
                  <w14:solidFill>
                    <w14:schemeClr w14:val="tx1"/>
                  </w14:solidFill>
                </w14:textFill>
              </w:rPr>
              <w:t>蛭石、植物培养液、化肥、尿素、啶虫脒等</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687" w:type="dxa"/>
            <w:noWrap w:val="0"/>
            <w:vAlign w:val="top"/>
          </w:tcPr>
          <w:p>
            <w:p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员工人数</w:t>
            </w:r>
          </w:p>
          <w:p>
            <w:p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关键岗位持证上岗人员</w:t>
            </w:r>
          </w:p>
          <w:p>
            <w:p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特殊工种人员</w:t>
            </w:r>
          </w:p>
        </w:tc>
        <w:tc>
          <w:tcPr>
            <w:tcW w:w="9261" w:type="dxa"/>
            <w:noWrap w:val="0"/>
            <w:vAlign w:val="top"/>
          </w:tcPr>
          <w:p>
            <w:pPr>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23人</w:t>
            </w:r>
          </w:p>
          <w:p>
            <w:pPr>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无</w:t>
            </w:r>
          </w:p>
          <w:p>
            <w:pPr>
              <w:pStyle w:val="2"/>
              <w:rPr>
                <w:rFonts w:hint="eastAsia"/>
                <w:lang w:val="en-US" w:eastAsia="zh-CN"/>
              </w:rPr>
            </w:pPr>
          </w:p>
          <w:p>
            <w:pPr>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无</w:t>
            </w:r>
          </w:p>
        </w:tc>
        <w:tc>
          <w:tcPr>
            <w:tcW w:w="1741" w:type="dxa"/>
            <w:noWrap w:val="0"/>
            <w:vAlign w:val="top"/>
          </w:tcPr>
          <w:p>
            <w:pPr>
              <w:spacing w:line="440" w:lineRule="exact"/>
              <w:jc w:val="center"/>
              <w:rPr>
                <w:rFonts w:ascii="宋体" w:hAnsi="宋体"/>
                <w:color w:val="000000" w:themeColor="text1"/>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687" w:type="dxa"/>
            <w:noWrap w:val="0"/>
            <w:vAlign w:val="top"/>
          </w:tcPr>
          <w:p>
            <w:p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主要生产设备</w:t>
            </w:r>
          </w:p>
          <w:p>
            <w:pPr>
              <w:pStyle w:val="2"/>
              <w:rPr>
                <w:rFonts w:hint="eastAsia"/>
                <w:lang w:val="en-US" w:eastAsia="zh-CN"/>
              </w:rPr>
            </w:pPr>
          </w:p>
          <w:p>
            <w:p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特种设备</w:t>
            </w:r>
          </w:p>
          <w:p>
            <w:pPr>
              <w:pStyle w:val="2"/>
              <w:rPr>
                <w:rFonts w:hint="eastAsia"/>
                <w:lang w:val="en-US" w:eastAsia="zh-CN"/>
              </w:rPr>
            </w:pPr>
          </w:p>
          <w:p>
            <w:pPr>
              <w:pStyle w:val="2"/>
              <w:rPr>
                <w:rFonts w:hint="eastAsia"/>
                <w:lang w:val="en-US" w:eastAsia="zh-CN"/>
              </w:rPr>
            </w:pPr>
            <w:bookmarkStart w:id="4" w:name="_GoBack"/>
            <w:bookmarkEnd w:id="4"/>
          </w:p>
          <w:p>
            <w:p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主要检测设备及设备的检定/校准（QMS）</w:t>
            </w:r>
          </w:p>
        </w:tc>
        <w:tc>
          <w:tcPr>
            <w:tcW w:w="9261" w:type="dxa"/>
            <w:noWrap w:val="0"/>
            <w:vAlign w:val="top"/>
          </w:tcPr>
          <w:p>
            <w:pPr>
              <w:spacing w:line="400" w:lineRule="exact"/>
              <w:rPr>
                <w:rFonts w:hint="eastAsia" w:ascii="宋体" w:hAnsi="宋体"/>
                <w:color w:val="000000" w:themeColor="text1"/>
                <w:sz w:val="21"/>
                <w:szCs w:val="21"/>
                <w:lang w:val="en-US" w:eastAsia="zh-CN"/>
              </w:rPr>
            </w:pPr>
            <w:r>
              <w:rPr>
                <w:rFonts w:hint="eastAsia" w:ascii="宋体" w:hAnsi="宋体" w:cs="宋体"/>
                <w:color w:val="000000"/>
                <w:szCs w:val="21"/>
              </w:rPr>
              <w:t>接</w:t>
            </w:r>
            <w:r>
              <w:rPr>
                <w:rFonts w:hint="eastAsia" w:ascii="宋体" w:hAnsi="宋体" w:eastAsia="宋体"/>
                <w:szCs w:val="21"/>
              </w:rPr>
              <w:t>种盘</w:t>
            </w:r>
            <w:r>
              <w:rPr>
                <w:rFonts w:hint="eastAsia" w:ascii="宋体" w:hAnsi="宋体" w:eastAsia="宋体"/>
                <w:szCs w:val="21"/>
                <w:lang w:eastAsia="zh-CN"/>
              </w:rPr>
              <w:t>、</w:t>
            </w:r>
            <w:r>
              <w:rPr>
                <w:rFonts w:hint="eastAsia" w:ascii="宋体" w:hAnsi="宋体" w:eastAsia="宋体"/>
                <w:szCs w:val="21"/>
              </w:rPr>
              <w:t>培养皿</w:t>
            </w:r>
            <w:r>
              <w:rPr>
                <w:rFonts w:hint="eastAsia" w:ascii="宋体" w:hAnsi="宋体" w:eastAsia="宋体"/>
                <w:szCs w:val="21"/>
                <w:lang w:eastAsia="zh-CN"/>
              </w:rPr>
              <w:t>、蒸汽灭菌器、网室、收薯机及种植工具（塑料筐、弯剪、镊子、铲子、喷雾器）</w:t>
            </w:r>
            <w:r>
              <w:rPr>
                <w:rFonts w:hint="eastAsia" w:ascii="宋体" w:hAnsi="宋体" w:eastAsia="宋体"/>
                <w:szCs w:val="21"/>
                <w:lang w:val="en-US" w:eastAsia="zh-CN"/>
              </w:rPr>
              <w:t>等。</w:t>
            </w:r>
            <w:r>
              <w:rPr>
                <w:rFonts w:hint="eastAsia" w:ascii="宋体" w:hAnsi="宋体"/>
                <w:color w:val="000000" w:themeColor="text1"/>
                <w:sz w:val="21"/>
                <w:szCs w:val="21"/>
                <w:lang w:val="en-US" w:eastAsia="zh-CN"/>
              </w:rPr>
              <w:t>可以满足</w:t>
            </w:r>
            <w:r>
              <w:rPr>
                <w:rFonts w:hint="eastAsia" w:ascii="宋体" w:hAnsi="宋体"/>
                <w:szCs w:val="21"/>
              </w:rPr>
              <w:t>许可范围内的马铃薯的种植和销售</w:t>
            </w:r>
            <w:r>
              <w:rPr>
                <w:rFonts w:hint="eastAsia" w:ascii="宋体" w:hAnsi="宋体"/>
                <w:szCs w:val="21"/>
                <w:lang w:eastAsia="zh-CN"/>
              </w:rPr>
              <w:t>的</w:t>
            </w:r>
            <w:r>
              <w:rPr>
                <w:rFonts w:hint="eastAsia" w:ascii="宋体" w:hAnsi="宋体"/>
                <w:color w:val="000000" w:themeColor="text1"/>
                <w:sz w:val="21"/>
                <w:szCs w:val="21"/>
                <w:lang w:val="en-US" w:eastAsia="zh-CN"/>
              </w:rPr>
              <w:t>需要。</w:t>
            </w:r>
          </w:p>
          <w:p>
            <w:pPr>
              <w:pStyle w:val="2"/>
              <w:rPr>
                <w:rFonts w:hint="eastAsia"/>
                <w:lang w:val="en-US" w:eastAsia="zh-CN"/>
              </w:rPr>
            </w:pPr>
          </w:p>
          <w:p>
            <w:p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无</w:t>
            </w:r>
          </w:p>
          <w:p>
            <w:pPr>
              <w:pStyle w:val="2"/>
              <w:rPr>
                <w:rFonts w:hint="eastAsia"/>
                <w:lang w:val="en-US" w:eastAsia="zh-CN"/>
              </w:rPr>
            </w:pPr>
          </w:p>
          <w:p>
            <w:pPr>
              <w:widowControl/>
              <w:ind w:firstLine="420" w:firstLineChars="200"/>
              <w:jc w:val="left"/>
              <w:rPr>
                <w:rFonts w:hint="eastAsia" w:ascii="宋体" w:hAnsi="宋体" w:cs="宋体"/>
                <w:color w:val="000000" w:themeColor="text1"/>
                <w:sz w:val="21"/>
                <w:szCs w:val="21"/>
              </w:rPr>
            </w:pPr>
            <w:r>
              <w:rPr>
                <w:rFonts w:hint="eastAsia" w:ascii="宋体" w:hAnsi="宋体" w:cs="Times New Roman"/>
                <w:szCs w:val="21"/>
                <w:lang w:val="en-US" w:eastAsia="zh-CN"/>
              </w:rPr>
              <w:t>组织只对产品的外观、数量、等级进行验收。产品质量性能委托有资质的第三方（四川农业大学，提供委托协议见附件）进行检测，采取以三方出具的产品病毒检测报告为验收依据进行最终产品的核验。生产过程中的监控用到了温度计、电子天平等，查以上监视和测量设备，不能出具效期内的校准证书</w:t>
            </w:r>
          </w:p>
        </w:tc>
        <w:tc>
          <w:tcPr>
            <w:tcW w:w="1741" w:type="dxa"/>
            <w:noWrap w:val="0"/>
            <w:vAlign w:val="top"/>
          </w:tcPr>
          <w:p>
            <w:pPr>
              <w:spacing w:line="440" w:lineRule="exact"/>
              <w:jc w:val="center"/>
              <w:rPr>
                <w:rFonts w:hint="eastAsia" w:ascii="宋体" w:hAnsi="宋体"/>
                <w:color w:val="000000" w:themeColor="text1"/>
                <w:sz w:val="21"/>
                <w:szCs w:val="21"/>
              </w:rPr>
            </w:pPr>
          </w:p>
          <w:p>
            <w:pPr>
              <w:spacing w:line="440" w:lineRule="exact"/>
              <w:jc w:val="center"/>
              <w:rPr>
                <w:rFonts w:hint="eastAsia" w:ascii="宋体" w:hAnsi="宋体"/>
                <w:color w:val="000000" w:themeColor="text1"/>
                <w:sz w:val="21"/>
                <w:szCs w:val="21"/>
              </w:rPr>
            </w:pPr>
          </w:p>
          <w:p>
            <w:pPr>
              <w:spacing w:line="440" w:lineRule="exact"/>
              <w:jc w:val="both"/>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7.1.5</w:t>
            </w:r>
          </w:p>
          <w:p>
            <w:pPr>
              <w:spacing w:line="440" w:lineRule="exact"/>
              <w:jc w:val="both"/>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lang w:val="en-US" w:eastAsia="zh-CN"/>
              </w:rPr>
              <w:t>N</w:t>
            </w:r>
          </w:p>
        </w:tc>
        <w:tc>
          <w:tcPr>
            <w:tcW w:w="614" w:type="dxa"/>
            <w:noWrap w:val="0"/>
            <w:vAlign w:val="top"/>
          </w:tcPr>
          <w:p>
            <w:pPr>
              <w:spacing w:line="440" w:lineRule="exact"/>
              <w:jc w:val="center"/>
              <w:rPr>
                <w:rFonts w:hint="eastAsia" w:ascii="宋体" w:hAnsi="宋体"/>
                <w:color w:val="0000FF"/>
                <w:sz w:val="21"/>
                <w:szCs w:val="21"/>
              </w:rPr>
            </w:pPr>
          </w:p>
          <w:p>
            <w:pPr>
              <w:spacing w:line="440" w:lineRule="exact"/>
              <w:jc w:val="center"/>
              <w:rPr>
                <w:rFonts w:hint="eastAsia" w:ascii="宋体" w:hAnsi="宋体"/>
                <w:color w:val="0000FF"/>
                <w:sz w:val="21"/>
                <w:szCs w:val="21"/>
              </w:rPr>
            </w:pPr>
          </w:p>
          <w:p>
            <w:pPr>
              <w:spacing w:line="440" w:lineRule="exact"/>
              <w:jc w:val="both"/>
              <w:rPr>
                <w:rFonts w:hint="eastAsia" w:ascii="宋体" w:hAnsi="宋体" w:eastAsia="宋体"/>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261" w:type="dxa"/>
            <w:noWrap w:val="0"/>
            <w:vAlign w:val="top"/>
          </w:tcPr>
          <w:p>
            <w:pPr>
              <w:spacing w:line="400" w:lineRule="exact"/>
              <w:rPr>
                <w:rFonts w:hint="eastAsia"/>
                <w:sz w:val="21"/>
                <w:szCs w:val="21"/>
              </w:rPr>
            </w:pPr>
            <w:r>
              <w:rPr>
                <w:rFonts w:hint="eastAsia"/>
                <w:sz w:val="21"/>
                <w:szCs w:val="21"/>
              </w:rPr>
              <w:t>暂无</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687" w:type="dxa"/>
            <w:noWrap w:val="0"/>
            <w:vAlign w:val="top"/>
          </w:tcPr>
          <w:p>
            <w:pPr>
              <w:tabs>
                <w:tab w:val="left" w:pos="0"/>
                <w:tab w:val="left" w:pos="420"/>
              </w:tabs>
              <w:spacing w:line="400" w:lineRule="exact"/>
              <w:ind w:firstLine="420" w:firstLineChars="200"/>
              <w:jc w:val="left"/>
              <w:rPr>
                <w:rFonts w:hint="eastAsia" w:eastAsia="宋体"/>
                <w:sz w:val="21"/>
                <w:szCs w:val="21"/>
              </w:rPr>
            </w:pPr>
            <w:r>
              <w:rPr>
                <w:rFonts w:hint="eastAsia" w:eastAsia="宋体"/>
                <w:sz w:val="21"/>
                <w:szCs w:val="21"/>
              </w:rPr>
              <w:t>方针及目标、指标及方案</w:t>
            </w:r>
          </w:p>
        </w:tc>
        <w:tc>
          <w:tcPr>
            <w:tcW w:w="9261" w:type="dxa"/>
            <w:noWrap w:val="0"/>
            <w:vAlign w:val="top"/>
          </w:tcPr>
          <w:p>
            <w:pPr>
              <w:spacing w:line="400" w:lineRule="exact"/>
              <w:jc w:val="both"/>
              <w:rPr>
                <w:rFonts w:hint="eastAsia" w:eastAsia="宋体"/>
                <w:sz w:val="21"/>
                <w:szCs w:val="21"/>
              </w:rPr>
            </w:pPr>
            <w:r>
              <w:rPr>
                <w:rFonts w:hint="eastAsia" w:eastAsia="宋体"/>
                <w:sz w:val="21"/>
                <w:szCs w:val="21"/>
              </w:rPr>
              <w:t>方针</w:t>
            </w:r>
            <w:r>
              <w:rPr>
                <w:rFonts w:hint="eastAsia" w:eastAsia="宋体"/>
                <w:sz w:val="21"/>
                <w:szCs w:val="21"/>
                <w:lang w:val="en-US" w:eastAsia="zh-CN"/>
              </w:rPr>
              <w:t>：</w:t>
            </w:r>
            <w:r>
              <w:rPr>
                <w:rFonts w:hint="eastAsia" w:eastAsia="宋体"/>
                <w:sz w:val="21"/>
                <w:szCs w:val="21"/>
              </w:rPr>
              <w:t>质量第一、降本增效、精益求精、持续改进</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261" w:type="dxa"/>
            <w:noWrap w:val="0"/>
            <w:vAlign w:val="top"/>
          </w:tcPr>
          <w:p>
            <w:pPr>
              <w:spacing w:line="400" w:lineRule="exact"/>
              <w:rPr>
                <w:rFonts w:hint="eastAsia"/>
                <w:sz w:val="21"/>
                <w:szCs w:val="21"/>
              </w:rPr>
            </w:pPr>
            <w:r>
              <w:rPr>
                <w:rFonts w:hint="eastAsia"/>
                <w:sz w:val="21"/>
                <w:szCs w:val="21"/>
              </w:rPr>
              <w:t>建立有《内部质量体系审核程序》</w:t>
            </w:r>
          </w:p>
          <w:p>
            <w:pPr>
              <w:spacing w:line="400" w:lineRule="exact"/>
              <w:rPr>
                <w:rFonts w:hint="eastAsia"/>
                <w:sz w:val="21"/>
                <w:szCs w:val="21"/>
              </w:rPr>
            </w:pPr>
            <w:r>
              <w:rPr>
                <w:rFonts w:hint="eastAsia"/>
                <w:sz w:val="21"/>
                <w:szCs w:val="21"/>
              </w:rPr>
              <w:t xml:space="preserve">见有《内部审核计划表》 </w:t>
            </w:r>
          </w:p>
          <w:p>
            <w:pPr>
              <w:rPr>
                <w:rFonts w:hint="eastAsia" w:ascii="Times New Roman" w:hAnsi="Times New Roman" w:eastAsia="宋体" w:cs="Times New Roman"/>
                <w:sz w:val="21"/>
                <w:szCs w:val="21"/>
                <w:lang w:val="en-US" w:eastAsia="zh-CN"/>
              </w:rPr>
            </w:pPr>
            <w:r>
              <w:rPr>
                <w:rFonts w:hint="eastAsia"/>
                <w:sz w:val="21"/>
                <w:szCs w:val="21"/>
              </w:rPr>
              <w:t>内审时间</w:t>
            </w:r>
            <w:r>
              <w:rPr>
                <w:rFonts w:hint="eastAsia"/>
                <w:sz w:val="21"/>
                <w:szCs w:val="21"/>
                <w:lang w:val="en-US" w:eastAsia="zh-CN"/>
              </w:rPr>
              <w:t>：</w:t>
            </w:r>
            <w:r>
              <w:rPr>
                <w:rFonts w:hint="eastAsia"/>
                <w:sz w:val="21"/>
                <w:szCs w:val="21"/>
                <w:lang w:eastAsia="zh-CN"/>
              </w:rPr>
              <w:t>2020年5月15日</w:t>
            </w:r>
          </w:p>
          <w:p>
            <w:pPr>
              <w:spacing w:line="400" w:lineRule="exact"/>
              <w:rPr>
                <w:rFonts w:hint="eastAsia" w:ascii="Times New Roman" w:hAnsi="Times New Roman" w:cs="Times New Roman"/>
                <w:sz w:val="21"/>
                <w:szCs w:val="21"/>
                <w:lang w:eastAsia="zh-CN"/>
              </w:rPr>
            </w:pPr>
            <w:r>
              <w:rPr>
                <w:rFonts w:hint="eastAsia" w:cs="Times New Roman"/>
                <w:sz w:val="21"/>
                <w:szCs w:val="21"/>
                <w:lang w:val="en-US" w:eastAsia="zh-CN"/>
              </w:rPr>
              <w:t>内审组：审核组长：郭艳英      组员：周祥波</w:t>
            </w:r>
          </w:p>
          <w:p>
            <w:pPr>
              <w:rPr>
                <w:rFonts w:hint="eastAsia" w:ascii="Times New Roman" w:hAnsi="Times New Roman" w:cs="Times New Roman"/>
                <w:sz w:val="21"/>
                <w:szCs w:val="21"/>
              </w:rPr>
            </w:pPr>
            <w:r>
              <w:rPr>
                <w:rFonts w:hint="eastAsia" w:ascii="Times New Roman" w:hAnsi="Times New Roman" w:cs="Times New Roman"/>
                <w:sz w:val="21"/>
                <w:szCs w:val="21"/>
                <w:lang w:val="en-US" w:eastAsia="zh-CN"/>
              </w:rPr>
              <w:t>见有：《内审不符合项报告》1份，涉及</w:t>
            </w:r>
            <w:r>
              <w:rPr>
                <w:rFonts w:hint="eastAsia" w:cs="Times New Roman"/>
                <w:sz w:val="21"/>
                <w:szCs w:val="21"/>
                <w:lang w:val="en-US" w:eastAsia="zh-CN"/>
              </w:rPr>
              <w:t>营销部8.4.1</w:t>
            </w:r>
            <w:r>
              <w:rPr>
                <w:rFonts w:hint="eastAsia" w:ascii="Times New Roman" w:hAnsi="Times New Roman" w:cs="Times New Roman"/>
                <w:sz w:val="21"/>
                <w:szCs w:val="21"/>
                <w:lang w:val="en-US" w:eastAsia="zh-CN"/>
              </w:rPr>
              <w:t>条款</w:t>
            </w:r>
            <w:r>
              <w:rPr>
                <w:rFonts w:hint="eastAsia" w:cs="Times New Roman"/>
                <w:sz w:val="21"/>
                <w:szCs w:val="21"/>
                <w:lang w:val="en-US" w:eastAsia="zh-CN"/>
              </w:rPr>
              <w:t>，</w:t>
            </w:r>
            <w:r>
              <w:rPr>
                <w:rFonts w:hint="eastAsia" w:ascii="Times New Roman" w:hAnsi="Times New Roman" w:cs="Times New Roman"/>
                <w:sz w:val="21"/>
                <w:szCs w:val="21"/>
                <w:lang w:val="en-US" w:eastAsia="zh-CN"/>
              </w:rPr>
              <w:t>不符合事实描述“内审查公司未将植物营养液供应商纳入合格供方名录。”针</w:t>
            </w:r>
            <w:r>
              <w:rPr>
                <w:rFonts w:hint="eastAsia" w:ascii="Times New Roman" w:hAnsi="Times New Roman" w:cs="Times New Roman"/>
                <w:sz w:val="21"/>
                <w:szCs w:val="21"/>
              </w:rPr>
              <w:t>对该不符合项，已及时采取纠正措施后，经内审员验证关闭。</w:t>
            </w:r>
          </w:p>
          <w:p>
            <w:pPr>
              <w:spacing w:line="400" w:lineRule="exact"/>
              <w:rPr>
                <w:rFonts w:hint="eastAsia" w:eastAsia="宋体"/>
                <w:sz w:val="21"/>
                <w:szCs w:val="21"/>
                <w:lang w:eastAsia="zh-CN"/>
              </w:rPr>
            </w:pPr>
            <w:r>
              <w:rPr>
                <w:rFonts w:hint="eastAsia" w:ascii="Times New Roman" w:hAnsi="Times New Roman" w:cs="Times New Roman"/>
                <w:sz w:val="21"/>
                <w:szCs w:val="21"/>
                <w:lang w:eastAsia="zh-CN"/>
              </w:rPr>
              <w:t>查见</w:t>
            </w:r>
            <w:r>
              <w:rPr>
                <w:rFonts w:hint="eastAsia" w:ascii="Times New Roman" w:hAnsi="Times New Roman" w:cs="Times New Roman"/>
                <w:sz w:val="21"/>
                <w:szCs w:val="21"/>
              </w:rPr>
              <w:t>《内部审核报告》，有审核结论</w:t>
            </w:r>
            <w:r>
              <w:rPr>
                <w:rFonts w:hint="eastAsia" w:ascii="Times New Roman" w:hAnsi="Times New Roman" w:cs="Times New Roman"/>
                <w:sz w:val="21"/>
                <w:szCs w:val="21"/>
                <w:lang w:eastAsia="zh-CN"/>
              </w:rPr>
              <w:t>：公司的体系运行符合自身</w:t>
            </w:r>
            <w:r>
              <w:rPr>
                <w:rFonts w:hint="eastAsia"/>
                <w:sz w:val="21"/>
                <w:szCs w:val="21"/>
                <w:lang w:eastAsia="zh-CN"/>
              </w:rPr>
              <w:t>的质量管理体系及标准要求且得到有效的实施和保持</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261"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查见《管理评审计划》、《管理评审报告》等</w:t>
            </w:r>
          </w:p>
          <w:p>
            <w:pPr>
              <w:rPr>
                <w:rFonts w:hint="eastAsia" w:ascii="宋体" w:hAnsi="宋体"/>
                <w:kern w:val="0"/>
                <w:sz w:val="21"/>
                <w:szCs w:val="21"/>
              </w:rPr>
            </w:pPr>
            <w:r>
              <w:rPr>
                <w:rFonts w:hint="eastAsia" w:ascii="宋体" w:hAnsi="宋体"/>
                <w:kern w:val="0"/>
                <w:sz w:val="21"/>
                <w:szCs w:val="21"/>
              </w:rPr>
              <w:t>管理评审于</w:t>
            </w:r>
            <w:r>
              <w:rPr>
                <w:rFonts w:hint="eastAsia" w:ascii="宋体" w:hAnsi="宋体"/>
                <w:kern w:val="0"/>
                <w:sz w:val="21"/>
                <w:szCs w:val="21"/>
                <w:lang w:eastAsia="zh-CN"/>
              </w:rPr>
              <w:t>2020年6月10日</w:t>
            </w:r>
          </w:p>
          <w:p>
            <w:pPr>
              <w:adjustRightInd w:val="0"/>
              <w:spacing w:line="400" w:lineRule="exact"/>
              <w:textAlignment w:val="baseline"/>
              <w:rPr>
                <w:rFonts w:hint="eastAsia" w:ascii="Times New Roman" w:hAnsi="Times New Roman" w:cs="Times New Roman"/>
                <w:sz w:val="21"/>
                <w:szCs w:val="21"/>
              </w:rPr>
            </w:pPr>
            <w:r>
              <w:rPr>
                <w:rFonts w:hint="eastAsia" w:ascii="宋体" w:hAnsi="宋体" w:eastAsia="宋体" w:cs="Times New Roman"/>
                <w:kern w:val="0"/>
                <w:sz w:val="21"/>
                <w:szCs w:val="21"/>
              </w:rPr>
              <w:t>由总经理</w:t>
            </w:r>
            <w:r>
              <w:rPr>
                <w:rFonts w:hint="eastAsia" w:ascii="宋体" w:hAnsi="宋体" w:eastAsia="宋体" w:cs="Times New Roman"/>
                <w:kern w:val="0"/>
                <w:sz w:val="21"/>
                <w:szCs w:val="21"/>
                <w:lang w:val="en-US" w:eastAsia="zh-CN"/>
              </w:rPr>
              <w:t>主持</w:t>
            </w:r>
            <w:r>
              <w:rPr>
                <w:rFonts w:hint="eastAsia" w:ascii="Times New Roman" w:hAnsi="Times New Roman" w:cs="Times New Roman"/>
                <w:sz w:val="21"/>
                <w:szCs w:val="21"/>
              </w:rPr>
              <w:t>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 w:val="21"/>
                <w:szCs w:val="21"/>
              </w:rPr>
            </w:pP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提出改进项：</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针对各级管理人员对标准理解不足情况，</w:t>
            </w:r>
            <w:r>
              <w:rPr>
                <w:rFonts w:hint="eastAsia" w:ascii="宋体" w:hAnsi="宋体"/>
                <w:kern w:val="0"/>
                <w:sz w:val="21"/>
                <w:szCs w:val="21"/>
                <w:lang w:eastAsia="zh-CN"/>
              </w:rPr>
              <w:t>加强</w:t>
            </w:r>
            <w:r>
              <w:rPr>
                <w:rFonts w:hint="eastAsia" w:ascii="宋体" w:hAnsi="宋体" w:cs="宋体"/>
                <w:szCs w:val="21"/>
              </w:rPr>
              <w:t>员工</w:t>
            </w:r>
            <w:r>
              <w:rPr>
                <w:rFonts w:hint="eastAsia" w:ascii="宋体" w:hAnsi="宋体" w:cs="宋体"/>
                <w:szCs w:val="21"/>
                <w:lang w:val="en-US" w:eastAsia="zh-CN"/>
              </w:rPr>
              <w:t>对ISO9001：2015标准学习的</w:t>
            </w:r>
            <w:r>
              <w:rPr>
                <w:rFonts w:hint="eastAsia" w:ascii="宋体" w:hAnsi="宋体" w:cs="宋体"/>
                <w:szCs w:val="21"/>
              </w:rPr>
              <w:t>培训。由</w:t>
            </w:r>
            <w:r>
              <w:rPr>
                <w:rFonts w:hint="eastAsia" w:ascii="宋体" w:hAnsi="宋体" w:cs="宋体"/>
                <w:szCs w:val="21"/>
                <w:lang w:val="en-US" w:eastAsia="zh-CN"/>
              </w:rPr>
              <w:t>综合部</w:t>
            </w:r>
            <w:r>
              <w:rPr>
                <w:rFonts w:hint="eastAsia" w:ascii="宋体" w:hAnsi="宋体" w:cs="宋体"/>
                <w:szCs w:val="21"/>
              </w:rPr>
              <w:t>负责，</w:t>
            </w:r>
            <w:r>
              <w:rPr>
                <w:rFonts w:hint="eastAsia" w:ascii="宋体" w:hAnsi="宋体" w:cs="宋体"/>
                <w:szCs w:val="21"/>
                <w:lang w:eastAsia="zh-CN"/>
              </w:rPr>
              <w:t>在</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szCs w:val="21"/>
                <w:lang w:val="en-US" w:eastAsia="zh-CN"/>
              </w:rPr>
              <w:t>8</w:t>
            </w:r>
            <w:r>
              <w:rPr>
                <w:rFonts w:hint="eastAsia" w:ascii="宋体" w:hAnsi="宋体"/>
                <w:szCs w:val="21"/>
              </w:rPr>
              <w:t>月底完成</w:t>
            </w:r>
            <w:r>
              <w:rPr>
                <w:rFonts w:hint="eastAsia" w:ascii="宋体" w:hAnsi="宋体" w:cs="宋体"/>
                <w:szCs w:val="21"/>
              </w:rPr>
              <w:t xml:space="preserve"> </w:t>
            </w:r>
          </w:p>
          <w:p>
            <w:pPr>
              <w:adjustRightInd w:val="0"/>
              <w:spacing w:line="400" w:lineRule="exact"/>
              <w:textAlignment w:val="baseline"/>
              <w:rPr>
                <w:rFonts w:hint="eastAsia" w:ascii="宋体" w:hAnsi="宋体" w:eastAsia="宋体"/>
                <w:kern w:val="0"/>
                <w:sz w:val="21"/>
                <w:szCs w:val="21"/>
                <w:lang w:eastAsia="zh-CN"/>
              </w:rPr>
            </w:pPr>
            <w:r>
              <w:rPr>
                <w:rFonts w:hint="eastAsia" w:ascii="宋体" w:hAnsi="宋体"/>
                <w:kern w:val="0"/>
                <w:sz w:val="21"/>
                <w:szCs w:val="21"/>
                <w:lang w:eastAsia="zh-CN"/>
              </w:rPr>
              <w:t>负责人讲</w:t>
            </w:r>
            <w:r>
              <w:rPr>
                <w:rFonts w:hint="eastAsia" w:ascii="宋体" w:hAnsi="宋体"/>
                <w:kern w:val="0"/>
                <w:sz w:val="21"/>
                <w:szCs w:val="21"/>
              </w:rPr>
              <w:t>上述决定正在实施之中</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pStyle w:val="2"/>
              <w:rPr>
                <w:rFonts w:hint="eastAsia"/>
                <w:lang w:val="en-US" w:eastAsia="zh-CN"/>
              </w:rPr>
            </w:pPr>
          </w:p>
          <w:p>
            <w:pPr>
              <w:adjustRightInd w:val="0"/>
              <w:spacing w:line="400" w:lineRule="exact"/>
              <w:textAlignment w:val="baseline"/>
              <w:rPr>
                <w:rFonts w:hint="eastAsia"/>
                <w:sz w:val="21"/>
                <w:szCs w:val="21"/>
              </w:rPr>
            </w:pPr>
            <w:r>
              <w:rPr>
                <w:rFonts w:hint="eastAsia" w:ascii="宋体" w:hAnsi="宋体" w:cs="Times New Roman"/>
                <w:kern w:val="0"/>
                <w:sz w:val="21"/>
                <w:szCs w:val="21"/>
                <w:lang w:val="en-US" w:eastAsia="zh-CN"/>
              </w:rPr>
              <w:t>第二阶段重要审核点等相关内容</w:t>
            </w:r>
          </w:p>
        </w:tc>
        <w:tc>
          <w:tcPr>
            <w:tcW w:w="9261"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的管理、销售及种植现场的远程巡视和资料、文件查阅，对管理体系绩效要求有重大影响的过程、活动、场所和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二阶段质量管理体系宜重点关注（关键生产过程及生产提供场所）：</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重点审核部门：生产部</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重点审核过程：外部供应产品和服务的控制、产品放行、不合格产品控制等</w:t>
            </w:r>
          </w:p>
          <w:p>
            <w:pPr>
              <w:adjustRightInd w:val="0"/>
              <w:spacing w:line="400" w:lineRule="exact"/>
              <w:textAlignment w:val="baseline"/>
              <w:rPr>
                <w:rFonts w:hint="eastAsia" w:ascii="宋体" w:hAnsi="宋体"/>
                <w:kern w:val="0"/>
                <w:sz w:val="21"/>
                <w:szCs w:val="21"/>
              </w:rPr>
            </w:pPr>
            <w:r>
              <w:rPr>
                <w:rFonts w:hint="eastAsia" w:ascii="宋体" w:hAnsi="宋体" w:cs="Times New Roman"/>
                <w:kern w:val="0"/>
                <w:sz w:val="21"/>
                <w:szCs w:val="21"/>
                <w:lang w:val="en-US" w:eastAsia="zh-CN"/>
              </w:rPr>
              <w:t>重点审核场所：办公区域经营场所。</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bl>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B06CA2"/>
    <w:rsid w:val="059E47B3"/>
    <w:rsid w:val="06FC3B72"/>
    <w:rsid w:val="09536E26"/>
    <w:rsid w:val="0A7C2565"/>
    <w:rsid w:val="0C04589A"/>
    <w:rsid w:val="0EC93FCC"/>
    <w:rsid w:val="10720BF0"/>
    <w:rsid w:val="115C1D59"/>
    <w:rsid w:val="17A07DE6"/>
    <w:rsid w:val="1B680B67"/>
    <w:rsid w:val="1CE612B6"/>
    <w:rsid w:val="27ED0300"/>
    <w:rsid w:val="322B5D54"/>
    <w:rsid w:val="359E17E8"/>
    <w:rsid w:val="3F79255E"/>
    <w:rsid w:val="4309358E"/>
    <w:rsid w:val="43B66D2E"/>
    <w:rsid w:val="4A5772A0"/>
    <w:rsid w:val="4B975E08"/>
    <w:rsid w:val="4D757027"/>
    <w:rsid w:val="54BF41DE"/>
    <w:rsid w:val="58BD536B"/>
    <w:rsid w:val="5A011A86"/>
    <w:rsid w:val="5E0C41DB"/>
    <w:rsid w:val="65AC6998"/>
    <w:rsid w:val="6C977AE9"/>
    <w:rsid w:val="6E367305"/>
    <w:rsid w:val="70567C5D"/>
    <w:rsid w:val="762244D6"/>
    <w:rsid w:val="7AA023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2020-08-21T14:56:42Z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