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6"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lang w:val="en-US" w:eastAsia="zh-CN"/>
        </w:rPr>
        <w:t>大庆市聚通祥机械设备有限公司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0054-2017-2020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054-</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7-</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szCs w:val="21"/>
              </w:rPr>
              <w:t>大庆市聚通祥机械设备</w:t>
            </w:r>
            <w:r>
              <w:rPr>
                <w:rFonts w:hint="eastAsia" w:ascii="宋体" w:hAnsi="宋体" w:eastAsia="宋体"/>
                <w:szCs w:val="21"/>
                <w:lang w:val="en-US" w:eastAsia="zh-CN"/>
              </w:rPr>
              <w:t>有限公司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张迎春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ISC-2018-</w:t>
            </w:r>
            <w:r>
              <w:rPr>
                <w:rFonts w:hint="eastAsia" w:cs="宋体" w:asciiTheme="minorEastAsia" w:hAnsiTheme="minorEastAsia"/>
                <w:kern w:val="0"/>
                <w:szCs w:val="21"/>
                <w:shd w:val="clear" w:color="auto" w:fill="auto"/>
                <w:lang w:val="en-US" w:eastAsia="zh-CN"/>
              </w:rPr>
              <w:t>0134</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r>
              <w:rPr>
                <w:rFonts w:hint="eastAsia" w:cs="宋体" w:asciiTheme="minorEastAsia" w:hAnsiTheme="minorEastAsia"/>
                <w:kern w:val="0"/>
                <w:szCs w:val="21"/>
                <w:shd w:val="clear" w:color="auto" w:fill="auto"/>
                <w:lang w:val="en-US" w:eastAsia="zh-CN"/>
              </w:rPr>
              <w:t>22.7.17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第3次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eastAsia" w:ascii="宋体" w:hAnsi="宋体" w:eastAsia="宋体" w:cs="宋体"/>
                <w:bCs/>
                <w:sz w:val="15"/>
                <w:szCs w:val="15"/>
                <w:lang w:val="en-US" w:eastAsia="zh-CN"/>
              </w:rPr>
            </w:pPr>
            <w:r>
              <w:rPr>
                <w:rFonts w:hint="eastAsia" w:ascii="宋体" w:hAnsi="宋体" w:eastAsia="宋体" w:cs="宋体"/>
                <w:bCs/>
                <w:sz w:val="15"/>
                <w:szCs w:val="15"/>
              </w:rPr>
              <w:t>管理层</w:t>
            </w:r>
            <w:r>
              <w:rPr>
                <w:rFonts w:hint="eastAsia" w:ascii="宋体" w:hAnsi="宋体" w:eastAsia="宋体" w:cs="宋体"/>
                <w:bCs/>
                <w:sz w:val="15"/>
                <w:szCs w:val="15"/>
                <w:lang w:val="en-US" w:eastAsia="zh-CN"/>
              </w:rPr>
              <w:t>/</w:t>
            </w:r>
          </w:p>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r>
              <w:rPr>
                <w:rFonts w:hint="eastAsia" w:ascii="宋体" w:hAnsi="宋体" w:eastAsia="宋体" w:cs="宋体"/>
                <w:bCs/>
                <w:sz w:val="15"/>
                <w:szCs w:val="15"/>
                <w:lang w:val="en-US" w:eastAsia="zh-CN"/>
              </w:rPr>
              <w:t>质量部/</w:t>
            </w:r>
            <w:r>
              <w:rPr>
                <w:rFonts w:hint="eastAsia" w:ascii="宋体" w:hAnsi="宋体" w:eastAsia="宋体" w:cs="宋体"/>
                <w:bCs/>
                <w:sz w:val="15"/>
                <w:szCs w:val="15"/>
              </w:rPr>
              <w:t>技术</w:t>
            </w:r>
            <w:r>
              <w:rPr>
                <w:rFonts w:hint="eastAsia" w:ascii="宋体" w:hAnsi="宋体" w:eastAsia="宋体" w:cs="宋体"/>
                <w:bCs/>
                <w:sz w:val="15"/>
                <w:szCs w:val="15"/>
                <w:lang w:val="en-US" w:eastAsia="zh-CN"/>
              </w:rPr>
              <w:t>部</w:t>
            </w:r>
            <w:r>
              <w:rPr>
                <w:rFonts w:hint="eastAsia" w:ascii="宋体" w:hAnsi="宋体" w:eastAsia="宋体" w:cs="宋体"/>
                <w:bCs/>
                <w:sz w:val="15"/>
                <w:szCs w:val="15"/>
                <w:lang w:eastAsia="zh-CN"/>
              </w:rPr>
              <w:t>、</w:t>
            </w:r>
            <w:r>
              <w:rPr>
                <w:rFonts w:hint="eastAsia" w:ascii="宋体" w:hAnsi="宋体" w:eastAsia="宋体" w:cs="宋体"/>
                <w:bCs/>
                <w:sz w:val="15"/>
                <w:szCs w:val="15"/>
                <w:lang w:val="en-US" w:eastAsia="zh-CN"/>
              </w:rPr>
              <w:t>生产部/</w:t>
            </w:r>
            <w:r>
              <w:rPr>
                <w:rFonts w:hint="eastAsia" w:ascii="宋体" w:hAnsi="宋体" w:eastAsia="宋体" w:cs="宋体"/>
                <w:bCs/>
                <w:sz w:val="15"/>
                <w:szCs w:val="15"/>
              </w:rPr>
              <w:t>办公室</w:t>
            </w:r>
            <w:r>
              <w:rPr>
                <w:rFonts w:hint="eastAsia" w:ascii="宋体" w:hAnsi="宋体" w:eastAsia="宋体" w:cs="宋体"/>
                <w:bCs/>
                <w:sz w:val="15"/>
                <w:szCs w:val="15"/>
                <w:lang w:val="en-US" w:eastAsia="zh-CN"/>
              </w:rPr>
              <w:t>/供销部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val="en-US" w:eastAsia="zh-CN"/>
        </w:rPr>
        <w:t>一</w:t>
      </w:r>
      <w:r>
        <w:rPr>
          <w:rFonts w:hint="eastAsia" w:ascii="宋体" w:hAnsi="宋体"/>
          <w:sz w:val="24"/>
          <w:szCs w:val="24"/>
        </w:rPr>
        <w:t>年以来运行情况，在大庆市聚通祥机械设备有限公司现场审核中，审核组先、后抽样检查了涉及公司测量体系内的、生产、经营、质量和环境等方面的</w:t>
      </w:r>
      <w:r>
        <w:rPr>
          <w:rFonts w:hint="eastAsia" w:ascii="宋体" w:hAnsi="宋体"/>
          <w:sz w:val="24"/>
          <w:szCs w:val="24"/>
          <w:lang w:val="en-US" w:eastAsia="zh-CN"/>
        </w:rPr>
        <w:t>5</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bCs/>
          <w:sz w:val="24"/>
          <w:szCs w:val="24"/>
          <w:lang w:val="en-US" w:eastAsia="zh-CN"/>
        </w:rPr>
        <w:t>；</w:t>
      </w:r>
      <w:r>
        <w:rPr>
          <w:rFonts w:hint="eastAsia" w:ascii="宋体" w:hAnsi="宋体"/>
          <w:bCs/>
          <w:sz w:val="24"/>
          <w:szCs w:val="24"/>
        </w:rPr>
        <w:t>大庆市聚通祥机械设备</w:t>
      </w:r>
      <w:r>
        <w:rPr>
          <w:rFonts w:hint="eastAsia" w:ascii="宋体" w:hAnsi="宋体"/>
          <w:bCs/>
          <w:sz w:val="24"/>
          <w:szCs w:val="24"/>
          <w:lang w:val="en-US" w:eastAsia="zh-CN"/>
        </w:rPr>
        <w:t>有限公司测量管理体系的符合性、有效性及持续改进，符合GB/T 19022-2003标准要求，公司测量管理体系正常有序运行，较好地满足了公司生产、销售和持续发展的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6</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21</w:t>
      </w:r>
      <w:r>
        <w:rPr>
          <w:rFonts w:cs="宋体" w:asciiTheme="minorEastAsia" w:hAnsiTheme="minorEastAsia"/>
          <w:bCs/>
          <w:kern w:val="0"/>
          <w:sz w:val="24"/>
          <w:szCs w:val="24"/>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5</w:t>
      </w:r>
      <w:r>
        <w:rPr>
          <w:rStyle w:val="10"/>
          <w:rFonts w:hint="eastAsia" w:ascii="宋体" w:eastAsia="宋体"/>
          <w:sz w:val="24"/>
          <w:szCs w:val="24"/>
        </w:rPr>
        <w:t>个职能部门和</w:t>
      </w:r>
      <w:r>
        <w:rPr>
          <w:rStyle w:val="10"/>
          <w:rFonts w:hint="eastAsia" w:ascii="宋体" w:eastAsia="宋体"/>
          <w:sz w:val="24"/>
          <w:szCs w:val="24"/>
          <w:lang w:val="en-US" w:eastAsia="zh-CN"/>
        </w:rPr>
        <w:t>1</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7</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25</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管理者代表杨立影</w:t>
      </w:r>
      <w:bookmarkStart w:id="1" w:name="_GoBack"/>
      <w:bookmarkEnd w:id="1"/>
      <w:r>
        <w:rPr>
          <w:rFonts w:hint="eastAsia" w:ascii="宋体" w:hAnsi="宋体" w:cs="黑体"/>
          <w:sz w:val="24"/>
          <w:szCs w:val="24"/>
        </w:rPr>
        <w:t>主持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snapToGrid w:val="0"/>
        <w:spacing w:line="360" w:lineRule="auto"/>
        <w:ind w:right="-512" w:rightChars="-244"/>
        <w:rPr>
          <w:sz w:val="24"/>
          <w:szCs w:val="24"/>
        </w:rPr>
      </w:pPr>
      <w:r>
        <w:rPr>
          <w:rFonts w:hint="eastAsia" w:asciiTheme="minorEastAsia" w:hAnsiTheme="minorEastAsia"/>
          <w:bCs/>
          <w:szCs w:val="21"/>
        </w:rPr>
        <w:t>4.为</w:t>
      </w:r>
      <w:r>
        <w:rPr>
          <w:rFonts w:hint="eastAsia"/>
          <w:sz w:val="24"/>
          <w:szCs w:val="24"/>
          <w:lang w:val="en-US" w:eastAsia="zh-CN"/>
        </w:rPr>
        <w:t>持续改进而策划的活动的进展 ，包括：企业对已识别的</w:t>
      </w:r>
      <w:r>
        <w:rPr>
          <w:rFonts w:hint="eastAsia"/>
        </w:rPr>
        <w:t>轴套内径测量</w:t>
      </w:r>
      <w:r>
        <w:rPr>
          <w:rFonts w:hint="eastAsia"/>
          <w:sz w:val="24"/>
          <w:szCs w:val="24"/>
          <w:lang w:val="en-US" w:eastAsia="zh-CN"/>
        </w:rPr>
        <w:t>测</w:t>
      </w:r>
      <w:r>
        <w:rPr>
          <w:rFonts w:hint="eastAsia"/>
          <w:lang w:val="en-US" w:eastAsia="zh-CN"/>
        </w:rPr>
        <w:t>量</w:t>
      </w:r>
      <w:r>
        <w:rPr>
          <w:rFonts w:hint="eastAsia"/>
          <w:sz w:val="24"/>
          <w:szCs w:val="24"/>
          <w:lang w:val="en-US" w:eastAsia="zh-CN"/>
        </w:rPr>
        <w:t>过程，按测量过程控制规范，进行了有效性监视。记录、监视，控制图齐全，完整</w:t>
      </w:r>
      <w:r>
        <w:rPr>
          <w:rFonts w:hint="eastAsia" w:ascii="宋体" w:hAnsi="宋体" w:cs="黑体"/>
          <w:sz w:val="24"/>
          <w:szCs w:val="24"/>
          <w:shd w:val="clear" w:color="auto" w:fill="auto"/>
        </w:rPr>
        <w:t>现场重点抽查了轴套内径测量不确定度评定方法正确。详见附件《不确定度评定报告》等不确定度评定报告。</w:t>
      </w:r>
      <w:r>
        <w:rPr>
          <w:rFonts w:hint="eastAsia"/>
          <w:sz w:val="24"/>
          <w:szCs w:val="24"/>
          <w:lang w:val="en-US" w:eastAsia="zh-CN"/>
        </w:rPr>
        <w:t>未见新增关键测量过程。</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cs="宋体" w:asciiTheme="minorEastAsia" w:hAnsiTheme="minorEastAsia"/>
          <w:bCs/>
          <w:color w:val="000000" w:themeColor="text1"/>
          <w:kern w:val="0"/>
          <w:sz w:val="24"/>
          <w:szCs w:val="24"/>
        </w:rPr>
      </w:pPr>
      <w:r>
        <w:rPr>
          <w:rFonts w:hint="eastAsia" w:asciiTheme="minorEastAsia" w:hAnsiTheme="minorEastAsia"/>
          <w:bCs/>
          <w:sz w:val="24"/>
          <w:szCs w:val="24"/>
        </w:rPr>
        <w:t>公司对</w:t>
      </w:r>
      <w:r>
        <w:rPr>
          <w:rFonts w:hint="eastAsia" w:asciiTheme="minorEastAsia" w:hAnsiTheme="minorEastAsia"/>
          <w:bCs/>
          <w:sz w:val="24"/>
          <w:szCs w:val="24"/>
          <w:lang w:val="en-US" w:eastAsia="zh-CN"/>
        </w:rPr>
        <w:t>上年度监督审核</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监督审核时已制</w:t>
      </w:r>
      <w:r>
        <w:rPr>
          <w:rFonts w:hint="eastAsia" w:asciiTheme="minorEastAsia" w:hAnsiTheme="minorEastAsia"/>
          <w:bCs/>
          <w:sz w:val="24"/>
          <w:szCs w:val="24"/>
        </w:rPr>
        <w:t>定整改计划，采取了</w:t>
      </w:r>
      <w:r>
        <w:rPr>
          <w:rFonts w:hint="eastAsia" w:ascii="宋体" w:hAnsi="宋体" w:cs="宋体"/>
          <w:kern w:val="0"/>
          <w:sz w:val="24"/>
          <w:szCs w:val="24"/>
        </w:rPr>
        <w:t>纠正措施</w:t>
      </w:r>
      <w:r>
        <w:rPr>
          <w:rFonts w:hint="eastAsia" w:ascii="宋体" w:hAnsi="宋体" w:cs="宋体"/>
          <w:kern w:val="0"/>
          <w:sz w:val="24"/>
          <w:szCs w:val="24"/>
          <w:lang w:val="en-US" w:eastAsia="zh-CN"/>
        </w:rPr>
        <w:t>，对公司的各类人员进行培训及对测量设备进行了认真检查，加强了对测量设备</w:t>
      </w:r>
      <w:r>
        <w:rPr>
          <w:rFonts w:hint="eastAsia" w:ascii="宋体" w:cs="宋体"/>
          <w:color w:val="000000" w:themeColor="text1"/>
          <w:kern w:val="0"/>
          <w:sz w:val="24"/>
          <w:szCs w:val="24"/>
          <w:lang w:val="en-US" w:eastAsia="zh-CN"/>
        </w:rPr>
        <w:t>管理采购保存等管理并受控，</w:t>
      </w:r>
      <w:r>
        <w:rPr>
          <w:rFonts w:hint="eastAsia" w:ascii="宋体" w:hAnsi="宋体"/>
          <w:color w:val="000000" w:themeColor="text1"/>
          <w:sz w:val="24"/>
          <w:szCs w:val="24"/>
        </w:rPr>
        <w:t>经审核组本次现场审核，通过对纠正措施工作的实施、完成情况跟踪及有效性进行现场查验，确认公司</w:t>
      </w:r>
      <w:r>
        <w:rPr>
          <w:rFonts w:hint="eastAsia" w:asciiTheme="minorEastAsia" w:hAnsiTheme="minorEastAsia"/>
          <w:bCs/>
          <w:sz w:val="24"/>
          <w:szCs w:val="24"/>
          <w:lang w:val="en-US" w:eastAsia="zh-CN"/>
        </w:rPr>
        <w:t>上年度监督审核</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个不符合项，所</w:t>
      </w:r>
      <w:r>
        <w:rPr>
          <w:rFonts w:hint="eastAsia" w:asciiTheme="minorEastAsia" w:hAnsiTheme="minorEastAsia"/>
          <w:bCs/>
          <w:color w:val="000000" w:themeColor="text1"/>
          <w:sz w:val="24"/>
          <w:szCs w:val="24"/>
        </w:rPr>
        <w:t>采取的</w:t>
      </w:r>
      <w:r>
        <w:rPr>
          <w:rFonts w:hint="eastAsia" w:ascii="宋体" w:hAnsi="宋体" w:cs="宋体"/>
          <w:color w:val="000000" w:themeColor="text1"/>
          <w:kern w:val="0"/>
          <w:sz w:val="24"/>
          <w:szCs w:val="24"/>
        </w:rPr>
        <w:t>纠正措施及时、正确，完成情况良好并持续有效</w:t>
      </w:r>
      <w:r>
        <w:rPr>
          <w:rFonts w:hint="eastAsia" w:ascii="宋体" w:cs="宋体"/>
          <w:color w:val="000000" w:themeColor="text1"/>
          <w:kern w:val="0"/>
          <w:sz w:val="24"/>
          <w:szCs w:val="24"/>
          <w:lang w:val="en-US" w:eastAsia="zh-CN"/>
        </w:rPr>
        <w:t>。同</w:t>
      </w:r>
      <w:r>
        <w:rPr>
          <w:rFonts w:hint="eastAsia" w:ascii="宋体" w:cs="宋体"/>
          <w:color w:val="000000" w:themeColor="text1"/>
          <w:kern w:val="0"/>
          <w:sz w:val="24"/>
          <w:szCs w:val="24"/>
        </w:rPr>
        <w:t>意关闭</w:t>
      </w:r>
      <w:r>
        <w:rPr>
          <w:rFonts w:hint="eastAsia" w:ascii="宋体" w:cs="宋体"/>
          <w:color w:val="000000" w:themeColor="text1"/>
          <w:kern w:val="0"/>
          <w:sz w:val="24"/>
          <w:szCs w:val="24"/>
          <w:lang w:val="en-US" w:eastAsia="zh-CN"/>
        </w:rPr>
        <w:t>1</w:t>
      </w:r>
      <w:r>
        <w:rPr>
          <w:rFonts w:hint="eastAsia" w:ascii="宋体" w:cs="宋体"/>
          <w:color w:val="000000" w:themeColor="text1"/>
          <w:kern w:val="0"/>
          <w:sz w:val="24"/>
          <w:szCs w:val="24"/>
        </w:rPr>
        <w:t>个不符合项。</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6</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napToGrid w:val="0"/>
        <w:spacing w:line="360" w:lineRule="auto"/>
        <w:ind w:right="-512" w:rightChars="-244"/>
        <w:rPr>
          <w:rFonts w:hint="eastAsia" w:ascii="宋体" w:hAnsi="宋体"/>
          <w:sz w:val="24"/>
          <w:szCs w:val="24"/>
          <w:highlight w:val="none"/>
          <w:lang w:val="en-US" w:eastAsia="zh-CN"/>
        </w:rPr>
      </w:pPr>
    </w:p>
    <w:p>
      <w:pPr>
        <w:numPr>
          <w:ilvl w:val="0"/>
          <w:numId w:val="2"/>
        </w:numPr>
        <w:snapToGrid w:val="0"/>
        <w:spacing w:line="360" w:lineRule="auto"/>
        <w:ind w:left="0" w:leftChars="0" w:right="-512" w:rightChars="-244" w:firstLine="0"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对企业组织任何变更的审核   企业组织无变化。企业法人发生变化变为朱旭峰，其它无变化，测量管理体系认证范围无变化，符合要求。</w:t>
      </w: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keepNext w:val="0"/>
        <w:keepLines w:val="0"/>
        <w:widowControl/>
        <w:suppressLineNumbers w:val="0"/>
        <w:jc w:val="left"/>
        <w:rPr>
          <w:rFonts w:hint="eastAsia" w:ascii="宋体" w:hAnsi="宋体"/>
          <w:sz w:val="24"/>
          <w:szCs w:val="24"/>
          <w:highlight w:val="none"/>
          <w:shd w:val="clear" w:color="auto" w:fill="auto"/>
          <w:lang w:val="en-US" w:eastAsia="zh-CN"/>
        </w:rPr>
      </w:pPr>
      <w:r>
        <w:rPr>
          <w:rFonts w:hint="eastAsia" w:ascii="宋体" w:hAnsi="宋体"/>
          <w:sz w:val="24"/>
          <w:szCs w:val="24"/>
          <w:highlight w:val="none"/>
          <w:shd w:val="clear" w:color="auto" w:fill="auto"/>
        </w:rPr>
        <w:t xml:space="preserve">本次审核共出具一般不符合项 </w:t>
      </w:r>
      <w:r>
        <w:rPr>
          <w:rFonts w:hint="eastAsia" w:ascii="宋体" w:hAnsi="宋体"/>
          <w:sz w:val="24"/>
          <w:szCs w:val="24"/>
          <w:highlight w:val="none"/>
          <w:shd w:val="clear" w:color="auto" w:fill="auto"/>
          <w:lang w:val="en-US" w:eastAsia="zh-CN"/>
        </w:rPr>
        <w:t>1</w:t>
      </w:r>
      <w:r>
        <w:rPr>
          <w:rFonts w:hint="eastAsia" w:ascii="宋体" w:hAnsi="宋体"/>
          <w:sz w:val="24"/>
          <w:szCs w:val="24"/>
          <w:highlight w:val="none"/>
          <w:shd w:val="clear" w:color="auto" w:fill="auto"/>
        </w:rPr>
        <w:t>项，未发现严重或系统性的不符合情况。</w:t>
      </w:r>
      <w:r>
        <w:rPr>
          <w:rFonts w:hint="eastAsia" w:ascii="宋体" w:hAnsi="宋体"/>
          <w:sz w:val="24"/>
          <w:szCs w:val="24"/>
          <w:highlight w:val="none"/>
          <w:shd w:val="clear" w:color="auto" w:fill="auto"/>
          <w:lang w:val="en-US" w:eastAsia="zh-CN"/>
        </w:rPr>
        <w:t>在办公室没有制定2020年人员年度培训计划，（计量职能的管理者应确保提供培训以满足已识别的需要，保存培训活动的记录，评价格训的有效性并予 以记录。）</w:t>
      </w:r>
      <w:r>
        <w:rPr>
          <w:rFonts w:hint="eastAsia" w:ascii="宋体" w:hAnsi="宋体"/>
          <w:sz w:val="24"/>
          <w:szCs w:val="24"/>
          <w:highlight w:val="none"/>
          <w:shd w:val="clear" w:color="auto" w:fill="auto"/>
        </w:rPr>
        <w:t>不符合认证</w:t>
      </w:r>
      <w:r>
        <w:rPr>
          <w:rFonts w:hint="eastAsia" w:ascii="宋体" w:hAnsi="宋体"/>
          <w:sz w:val="24"/>
          <w:szCs w:val="24"/>
          <w:highlight w:val="none"/>
          <w:shd w:val="clear" w:color="auto" w:fill="auto"/>
          <w:lang w:val="zh-CN"/>
        </w:rPr>
        <w:t>审核准则</w:t>
      </w:r>
      <w:r>
        <w:rPr>
          <w:rFonts w:hint="eastAsia" w:ascii="宋体" w:hAnsi="宋体"/>
          <w:sz w:val="24"/>
          <w:szCs w:val="24"/>
          <w:highlight w:val="none"/>
          <w:shd w:val="clear" w:color="auto" w:fill="auto"/>
        </w:rPr>
        <w:t>条款号：___GB/T19022-2003标准</w:t>
      </w:r>
      <w:r>
        <w:rPr>
          <w:rFonts w:hint="eastAsia" w:ascii="宋体" w:hAnsi="宋体"/>
          <w:sz w:val="24"/>
          <w:szCs w:val="24"/>
          <w:highlight w:val="none"/>
          <w:shd w:val="clear" w:color="auto" w:fill="auto"/>
          <w:lang w:val="en-US" w:eastAsia="zh-CN"/>
        </w:rPr>
        <w:t>6.1.2</w:t>
      </w:r>
      <w:r>
        <w:rPr>
          <w:rFonts w:hint="eastAsia" w:ascii="宋体" w:hAnsi="宋体"/>
          <w:sz w:val="24"/>
          <w:szCs w:val="24"/>
          <w:highlight w:val="none"/>
          <w:shd w:val="clear" w:color="auto" w:fill="auto"/>
        </w:rPr>
        <w:t>条款。</w:t>
      </w:r>
      <w:r>
        <w:rPr>
          <w:rFonts w:hint="eastAsia" w:ascii="宋体" w:hAnsi="宋体"/>
          <w:sz w:val="24"/>
          <w:szCs w:val="24"/>
          <w:highlight w:val="none"/>
          <w:shd w:val="clear" w:color="auto" w:fill="auto"/>
          <w:lang w:val="en-US" w:eastAsia="zh-CN"/>
        </w:rPr>
        <w:t>不符合要求。</w:t>
      </w:r>
    </w:p>
    <w:p>
      <w:pPr>
        <w:widowControl/>
        <w:spacing w:line="360" w:lineRule="auto"/>
        <w:ind w:firstLine="480" w:firstLineChars="200"/>
        <w:jc w:val="left"/>
        <w:rPr>
          <w:rFonts w:ascii="宋体" w:hAnsi="宋体" w:eastAsia="宋体" w:cs="宋体"/>
          <w:kern w:val="0"/>
          <w:szCs w:val="28"/>
        </w:rPr>
      </w:pPr>
      <w:r>
        <w:rPr>
          <w:rFonts w:hint="eastAsia" w:ascii="宋体" w:hAnsi="宋体" w:eastAsia="宋体"/>
          <w:sz w:val="24"/>
          <w:szCs w:val="24"/>
          <w:highlight w:val="none"/>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pacing w:line="360" w:lineRule="auto"/>
        <w:jc w:val="center"/>
        <w:rPr>
          <w:rFonts w:ascii="宋体" w:hAnsi="宋体" w:eastAsia="宋体" w:cs="Times New Roman"/>
          <w:sz w:val="24"/>
          <w:szCs w:val="24"/>
          <w:highlight w:val="none"/>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8</w:t>
      </w:r>
      <w:r>
        <w:rPr>
          <w:rStyle w:val="11"/>
          <w:rFonts w:ascii="宋体" w:hAnsi="宋体" w:eastAsia="宋体"/>
          <w:sz w:val="24"/>
          <w:szCs w:val="24"/>
        </w:rPr>
        <w:t>月</w:t>
      </w:r>
      <w:r>
        <w:rPr>
          <w:rStyle w:val="11"/>
          <w:rFonts w:hint="eastAsia" w:ascii="宋体" w:hAnsi="宋体" w:eastAsia="宋体"/>
          <w:sz w:val="24"/>
          <w:szCs w:val="24"/>
          <w:lang w:val="en-US" w:eastAsia="zh-CN"/>
        </w:rPr>
        <w:t>10</w:t>
      </w:r>
      <w:r>
        <w:rPr>
          <w:rStyle w:val="11"/>
          <w:rFonts w:ascii="宋体" w:hAnsi="宋体" w:eastAsia="宋体"/>
          <w:sz w:val="24"/>
          <w:szCs w:val="24"/>
        </w:rPr>
        <w:t>日</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w:t>
      </w:r>
      <w:r>
        <w:rPr>
          <w:rFonts w:hint="eastAsia" w:asciiTheme="minorEastAsia" w:hAnsiTheme="minorEastAsia"/>
          <w:bCs/>
          <w:sz w:val="24"/>
          <w:szCs w:val="24"/>
        </w:rPr>
        <w:t>大庆市聚通祥机械设备有限公</w:t>
      </w:r>
      <w:r>
        <w:rPr>
          <w:rStyle w:val="11"/>
          <w:rFonts w:hint="eastAsia" w:ascii="宋体" w:hAnsi="宋体" w:eastAsia="宋体"/>
          <w:sz w:val="24"/>
          <w:szCs w:val="24"/>
        </w:rPr>
        <w:t>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第3次</w:t>
      </w:r>
      <w:r>
        <w:rPr>
          <w:rStyle w:val="11"/>
          <w:rFonts w:hint="eastAsia" w:ascii="宋体" w:hAnsi="宋体" w:eastAsia="宋体"/>
          <w:sz w:val="24"/>
          <w:szCs w:val="24"/>
        </w:rPr>
        <w:t>监督</w:t>
      </w:r>
      <w:r>
        <w:rPr>
          <w:rStyle w:val="11"/>
          <w:rFonts w:ascii="宋体" w:hAnsi="宋体" w:eastAsia="宋体"/>
          <w:sz w:val="24"/>
          <w:szCs w:val="24"/>
        </w:rPr>
        <w:t>审核</w:t>
      </w:r>
      <w:r>
        <w:rPr>
          <w:rFonts w:hint="eastAsia" w:asciiTheme="minorEastAsia" w:hAnsiTheme="minorEastAsia"/>
          <w:bCs/>
          <w:sz w:val="24"/>
          <w:szCs w:val="24"/>
        </w:rPr>
        <w:t>.验证了公司在测量管理体系</w:t>
      </w:r>
      <w:r>
        <w:rPr>
          <w:rFonts w:hint="eastAsia" w:asciiTheme="minorEastAsia" w:hAnsiTheme="minorEastAsia"/>
          <w:bCs/>
          <w:sz w:val="24"/>
          <w:szCs w:val="24"/>
          <w:lang w:val="en-US" w:eastAsia="zh-CN"/>
        </w:rPr>
        <w:t>监督审核</w:t>
      </w:r>
      <w:r>
        <w:rPr>
          <w:rFonts w:hint="eastAsia" w:asciiTheme="minorEastAsia" w:hAnsiTheme="minorEastAsia"/>
          <w:bCs/>
          <w:sz w:val="24"/>
          <w:szCs w:val="24"/>
        </w:rPr>
        <w:t>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r>
        <w:rPr>
          <w:rFonts w:hint="eastAsia" w:ascii="宋体" w:hAnsi="宋体"/>
          <w:sz w:val="24"/>
          <w:szCs w:val="24"/>
        </w:rPr>
        <w:t>用能单位的能源计量器具准确度等级</w:t>
      </w:r>
      <w:r>
        <w:rPr>
          <w:rFonts w:hint="eastAsia" w:ascii="宋体" w:hAnsi="宋体"/>
          <w:sz w:val="24"/>
          <w:szCs w:val="24"/>
          <w:lang w:val="en-US" w:eastAsia="zh-CN"/>
        </w:rPr>
        <w:t xml:space="preserve"> ，</w:t>
      </w:r>
      <w:r>
        <w:rPr>
          <w:rFonts w:ascii="宋体" w:hAnsi="宋体"/>
          <w:szCs w:val="21"/>
        </w:rPr>
        <w:t>用能单位的能源计量器具准确度等级</w:t>
      </w:r>
      <w:r>
        <w:rPr>
          <w:rFonts w:hint="eastAsia" w:ascii="宋体" w:hAnsi="宋体"/>
          <w:szCs w:val="21"/>
        </w:rPr>
        <w:t>：</w:t>
      </w:r>
      <w:r>
        <w:rPr>
          <w:rFonts w:hint="eastAsia"/>
          <w:szCs w:val="21"/>
        </w:rPr>
        <w:t>2.0级的三相四线电能表1块和2</w:t>
      </w:r>
      <w:r>
        <w:rPr>
          <w:rFonts w:hint="eastAsia"/>
          <w:szCs w:val="21"/>
          <w:lang w:val="en-US" w:eastAsia="zh-CN"/>
        </w:rPr>
        <w:t>.5</w:t>
      </w:r>
      <w:r>
        <w:rPr>
          <w:rFonts w:hint="eastAsia"/>
          <w:szCs w:val="21"/>
        </w:rPr>
        <w:t>级的水表1块，</w:t>
      </w:r>
      <w:r>
        <w:rPr>
          <w:rFonts w:ascii="宋体" w:hAnsi="宋体"/>
          <w:szCs w:val="21"/>
        </w:rPr>
        <w:t>满足GB17167标准4.3.8表4</w:t>
      </w:r>
      <w:r>
        <w:rPr>
          <w:rFonts w:hint="eastAsia" w:ascii="宋体" w:hAnsi="宋体"/>
          <w:szCs w:val="21"/>
        </w:rPr>
        <w:t>的</w:t>
      </w:r>
      <w:r>
        <w:rPr>
          <w:rFonts w:ascii="宋体" w:hAnsi="宋体"/>
          <w:szCs w:val="21"/>
        </w:rPr>
        <w:t>要求</w:t>
      </w:r>
      <w:r>
        <w:rPr>
          <w:rFonts w:hint="eastAsia"/>
          <w:szCs w:val="21"/>
        </w:rPr>
        <w:t xml:space="preserve"> </w:t>
      </w:r>
      <w:r>
        <w:rPr>
          <w:rFonts w:hint="eastAsia" w:ascii="宋体" w:hAnsi="宋体"/>
          <w:sz w:val="24"/>
          <w:szCs w:val="24"/>
          <w:lang w:val="en-US" w:eastAsia="zh-CN"/>
        </w:rPr>
        <w:t xml:space="preserve"> </w:t>
      </w:r>
      <w:r>
        <w:rPr>
          <w:rFonts w:hint="eastAsia" w:ascii="宋体" w:hAnsi="宋体"/>
          <w:sz w:val="24"/>
          <w:szCs w:val="24"/>
        </w:rPr>
        <w:t>企业能源计量器具共有2台，已编入了测量设备管理目录，能源计量器具配备率符合GB17167－2006的要求</w:t>
      </w:r>
      <w:r>
        <w:rPr>
          <w:rFonts w:hint="eastAsia" w:ascii="宋体" w:hAnsi="宋体"/>
          <w:sz w:val="24"/>
          <w:szCs w:val="24"/>
          <w:lang w:eastAsia="zh-CN"/>
        </w:rPr>
        <w:t>。</w:t>
      </w:r>
      <w:r>
        <w:rPr>
          <w:rFonts w:hint="eastAsia" w:ascii="宋体" w:hAnsi="宋体"/>
          <w:sz w:val="24"/>
          <w:szCs w:val="24"/>
        </w:rPr>
        <w:t>能源数据每月抄表，能源报表数据可追溯到现场测试记录，满</w:t>
      </w:r>
      <w:r>
        <w:rPr>
          <w:rFonts w:hint="eastAsia" w:ascii="宋体" w:hAnsi="宋体"/>
          <w:sz w:val="24"/>
          <w:szCs w:val="24"/>
          <w:shd w:val="clear" w:color="auto" w:fill="auto"/>
        </w:rPr>
        <w:t>足要求。综上所述，</w:t>
      </w:r>
      <w:r>
        <w:rPr>
          <w:rFonts w:hint="eastAsia" w:ascii="宋体" w:hAnsi="宋体"/>
          <w:sz w:val="24"/>
          <w:szCs w:val="24"/>
        </w:rPr>
        <w:t>审核组认为</w:t>
      </w:r>
      <w:r>
        <w:rPr>
          <w:rFonts w:hint="eastAsia" w:ascii="宋体" w:hAnsi="宋体"/>
          <w:sz w:val="24"/>
          <w:szCs w:val="24"/>
          <w:shd w:val="clear" w:color="auto" w:fill="auto"/>
        </w:rPr>
        <w:t>大庆市聚通祥机械设备有限公</w:t>
      </w:r>
      <w:r>
        <w:rPr>
          <w:rStyle w:val="11"/>
          <w:rFonts w:hint="eastAsia" w:ascii="宋体" w:hAnsi="宋体" w:eastAsia="宋体"/>
          <w:sz w:val="24"/>
          <w:szCs w:val="24"/>
        </w:rPr>
        <w:t>司</w:t>
      </w:r>
      <w:r>
        <w:rPr>
          <w:rFonts w:hint="eastAsia" w:ascii="宋体" w:hAnsi="宋体"/>
          <w:sz w:val="24"/>
          <w:szCs w:val="24"/>
        </w:rPr>
        <w:t>测量管理体系，符合GB/T 19022-2003标准要求，对体系运行具有持续的有效性、符合性予以肯定。建议报请国标联合认证有限公司批准通过监督审核。</w:t>
      </w: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r>
        <w:rPr>
          <w:rFonts w:ascii="宋体" w:hAnsi="宋体" w:eastAsia="宋体" w:cs="宋体"/>
          <w:kern w:val="0"/>
          <w:szCs w:val="28"/>
        </w:rPr>
        <w:t>审核员 （签字）：</w:t>
      </w:r>
      <w:r>
        <w:rPr>
          <w:rFonts w:hint="eastAsia" w:ascii="宋体" w:hAnsi="宋体" w:eastAsia="宋体" w:cs="宋体"/>
          <w:kern w:val="0"/>
          <w:szCs w:val="28"/>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footerReference r:id="rId4"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3951849"/>
    <w:rsid w:val="08B56478"/>
    <w:rsid w:val="0BF45514"/>
    <w:rsid w:val="0CB970B4"/>
    <w:rsid w:val="0E8C5939"/>
    <w:rsid w:val="138501A6"/>
    <w:rsid w:val="14575BEE"/>
    <w:rsid w:val="14EA6CB3"/>
    <w:rsid w:val="1D5E1F47"/>
    <w:rsid w:val="1D9A2E7B"/>
    <w:rsid w:val="23881FD2"/>
    <w:rsid w:val="267B10B4"/>
    <w:rsid w:val="27554591"/>
    <w:rsid w:val="28255ACB"/>
    <w:rsid w:val="28826509"/>
    <w:rsid w:val="308C462A"/>
    <w:rsid w:val="31DB01B3"/>
    <w:rsid w:val="37774C67"/>
    <w:rsid w:val="3BB67694"/>
    <w:rsid w:val="3EC25B56"/>
    <w:rsid w:val="49C14E74"/>
    <w:rsid w:val="4A8A2F7C"/>
    <w:rsid w:val="4F757019"/>
    <w:rsid w:val="4FF60B62"/>
    <w:rsid w:val="51C16409"/>
    <w:rsid w:val="533E0E08"/>
    <w:rsid w:val="547533AA"/>
    <w:rsid w:val="55C92FC9"/>
    <w:rsid w:val="56896C6B"/>
    <w:rsid w:val="58082CF0"/>
    <w:rsid w:val="5896057E"/>
    <w:rsid w:val="5BA410AD"/>
    <w:rsid w:val="5F1C7C1A"/>
    <w:rsid w:val="5FCA3BA5"/>
    <w:rsid w:val="61A667FC"/>
    <w:rsid w:val="63EF48F4"/>
    <w:rsid w:val="67D506DB"/>
    <w:rsid w:val="693568F0"/>
    <w:rsid w:val="6CF336B5"/>
    <w:rsid w:val="707F0D4F"/>
    <w:rsid w:val="740323E8"/>
    <w:rsid w:val="74832446"/>
    <w:rsid w:val="74BF4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23</TotalTime>
  <ScaleCrop>false</ScaleCrop>
  <LinksUpToDate>false</LinksUpToDate>
  <CharactersWithSpaces>748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2020-08-11T01:34:51Z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