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0413-2020-EO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上海冬方化工机械有限公司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O:18.05.07</w:t>
            </w:r>
          </w:p>
          <w:p>
            <w:pPr>
              <w:spacing w:line="240" w:lineRule="exact"/>
              <w:jc w:val="center"/>
              <w:rPr>
                <w:b/>
                <w:color w:val="000000"/>
                <w:sz w:val="20"/>
                <w:szCs w:val="20"/>
              </w:rPr>
            </w:pPr>
            <w:r>
              <w:rPr>
                <w:b/>
                <w:color w:val="000000"/>
                <w:sz w:val="20"/>
                <w:szCs w:val="20"/>
              </w:rPr>
              <w:t>E:18.05.07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O:18.05.07</w:t>
            </w:r>
          </w:p>
          <w:p>
            <w:pPr>
              <w:spacing w:line="240" w:lineRule="exact"/>
              <w:jc w:val="center"/>
              <w:rPr>
                <w:b/>
                <w:color w:val="000000"/>
                <w:sz w:val="20"/>
                <w:szCs w:val="20"/>
              </w:rPr>
            </w:pPr>
            <w:r>
              <w:rPr>
                <w:b/>
                <w:color w:val="000000"/>
                <w:sz w:val="20"/>
                <w:szCs w:val="20"/>
              </w:rPr>
              <w:t>E:18.05.07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夏楠楠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上海冬方化工机械有限公司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上海市金山区卫昌路205号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201508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上海市金山区卫昌路205号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201508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王文峰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021-67246000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陈利</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张忠于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bookmarkStart w:id="22" w:name="体系运行时间"/>
            <w:r>
              <w:rPr>
                <w:rFonts w:ascii="宋体" w:hAnsi="宋体"/>
                <w:b/>
                <w:color w:val="000000" w:themeColor="text1"/>
                <w:sz w:val="20"/>
                <w:szCs w:val="20"/>
              </w:rPr>
              <w:t xml:space="preserve">2020-03-20 </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3" w:name="审核范围"/>
            <w:r>
              <w:rPr>
                <w:rFonts w:ascii="宋体" w:hAnsi="宋体"/>
                <w:b/>
                <w:color w:val="000000"/>
                <w:sz w:val="20"/>
                <w:szCs w:val="20"/>
              </w:rPr>
              <w:t>O：化工设备配件（冷却器、防护罩、梯子平台组件）的生产及相关职业健康安全管理活动</w:t>
            </w:r>
          </w:p>
          <w:p>
            <w:pPr>
              <w:spacing w:line="400" w:lineRule="exact"/>
              <w:rPr>
                <w:rFonts w:ascii="宋体" w:hAnsi="宋体"/>
                <w:b/>
                <w:color w:val="000000"/>
                <w:sz w:val="20"/>
                <w:szCs w:val="20"/>
              </w:rPr>
            </w:pPr>
            <w:r>
              <w:rPr>
                <w:rFonts w:ascii="宋体" w:hAnsi="宋体"/>
                <w:b/>
                <w:color w:val="000000"/>
                <w:sz w:val="20"/>
                <w:szCs w:val="20"/>
              </w:rPr>
              <w:t>E：化工设备配件（冷却器、防护罩、梯子平台组件）的生产及相关环境管理活动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4" w:name="专业代码"/>
            <w:r>
              <w:rPr>
                <w:rFonts w:ascii="宋体"/>
                <w:b/>
                <w:color w:val="000000"/>
                <w:sz w:val="20"/>
                <w:szCs w:val="20"/>
              </w:rPr>
              <w:t>O：18.05.07</w:t>
            </w:r>
          </w:p>
          <w:p>
            <w:pPr>
              <w:spacing w:line="280" w:lineRule="exact"/>
              <w:rPr>
                <w:rFonts w:ascii="宋体"/>
                <w:b/>
                <w:color w:val="000000"/>
                <w:sz w:val="20"/>
                <w:szCs w:val="20"/>
              </w:rPr>
            </w:pPr>
            <w:r>
              <w:rPr>
                <w:rFonts w:ascii="宋体"/>
                <w:b/>
                <w:color w:val="000000"/>
                <w:sz w:val="20"/>
                <w:szCs w:val="20"/>
              </w:rPr>
              <w:t>E：18.05.07</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手册、程序文件、管理评审、内审等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   生技部   行政部(含财务)  质检部（查仓库） 安全事务代表   供销部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厂区、办公室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eastAsia="宋体"/>
                <w:b/>
                <w:color w:val="000000"/>
                <w:sz w:val="20"/>
                <w:szCs w:val="20"/>
                <w:lang w:val="en-US" w:eastAsia="zh-CN"/>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r>
              <w:rPr>
                <w:rFonts w:hint="eastAsia" w:ascii="宋体" w:hAnsi="宋体"/>
                <w:b/>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O：化工设备配件（冷却器、防护罩、梯子平台组件）的生产及相关职业健康安全管理活动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E：化工设备配件（冷却器、防护罩、梯子平台组件）的生产及相关环境管理活动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rPr>
              <w:t>管理层   生技部   行政部(含财务)  质检部（查仓库） 安全事务代表   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rPr>
              <w:t>固体废弃物排放、噪声排放、废气排放、废水排放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Arial" w:hAnsi="Arial" w:eastAsia="宋体" w:cs="Arial"/>
                <w:lang w:val="en-GB"/>
              </w:rPr>
              <w:t>编制</w:t>
            </w:r>
            <w:r>
              <w:rPr>
                <w:rFonts w:hint="eastAsia" w:ascii="Arial" w:hAnsi="Arial" w:eastAsia="宋体" w:cs="Arial"/>
                <w:lang w:val="en-GB" w:eastAsia="zh-CN"/>
              </w:rPr>
              <w:t>火灾、</w:t>
            </w:r>
            <w:r>
              <w:rPr>
                <w:rFonts w:hint="eastAsia" w:ascii="Arial" w:hAnsi="Arial" w:eastAsia="宋体" w:cs="Arial"/>
              </w:rPr>
              <w:t>意外伤害</w:t>
            </w:r>
            <w:r>
              <w:rPr>
                <w:rFonts w:hint="eastAsia" w:ascii="Arial" w:hAnsi="Arial" w:eastAsia="宋体" w:cs="Arial"/>
                <w:lang w:eastAsia="zh-CN"/>
              </w:rPr>
              <w:t>、触电等</w:t>
            </w:r>
            <w:r>
              <w:rPr>
                <w:rFonts w:hint="eastAsia" w:ascii="Arial" w:hAnsi="Arial" w:eastAsia="宋体" w:cs="Arial"/>
                <w:lang w:val="en-GB"/>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highlight w:val="none"/>
              </w:rPr>
              <w:t>包含触电、火灾、物体打击、传染病等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rPr>
              <w:t xml:space="preserve">生技部 </w:t>
            </w:r>
            <w:r>
              <w:rPr>
                <w:rFonts w:hint="eastAsia" w:ascii="宋体" w:hAnsi="宋体"/>
                <w:b/>
                <w:color w:val="000000"/>
                <w:sz w:val="20"/>
                <w:szCs w:val="20"/>
                <w:lang w:val="en-US" w:eastAsia="zh-CN"/>
              </w:rPr>
              <w:t xml:space="preserve"> 质检部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r>
              <w:rPr>
                <w:rFonts w:hint="eastAsia" w:ascii="宋体" w:hAnsi="宋体"/>
                <w:b/>
                <w:color w:val="000000"/>
                <w:sz w:val="20"/>
                <w:szCs w:val="20"/>
                <w:lang w:val="en-US" w:eastAsia="zh-CN"/>
              </w:rPr>
              <w:t xml:space="preserve">  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 xml:space="preserve">重点审核部门：生技部 </w:t>
            </w:r>
            <w:r>
              <w:rPr>
                <w:rFonts w:hint="eastAsia" w:ascii="宋体" w:hAnsi="宋体"/>
                <w:b/>
                <w:color w:val="000000"/>
                <w:sz w:val="20"/>
                <w:szCs w:val="20"/>
                <w:lang w:val="en-US" w:eastAsia="zh-CN"/>
              </w:rPr>
              <w:t xml:space="preserve"> 质检部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r>
              <w:rPr>
                <w:rFonts w:hint="eastAsia" w:ascii="宋体" w:hAnsi="宋体"/>
                <w:b/>
                <w:color w:val="000000"/>
                <w:sz w:val="20"/>
                <w:szCs w:val="20"/>
                <w:lang w:val="en-US" w:eastAsia="zh-CN"/>
              </w:rPr>
              <w:t xml:space="preserve">  库房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napToGrid w:val="0"/>
        <w:spacing w:after="156" w:afterLines="50" w:line="360" w:lineRule="auto"/>
        <w:ind w:left="191" w:leftChars="91" w:firstLine="454" w:firstLineChars="174"/>
        <w:jc w:val="left"/>
        <w:rPr>
          <w:b/>
          <w:color w:val="000000" w:themeColor="text1"/>
        </w:rPr>
      </w:pPr>
      <w:r>
        <w:rPr>
          <w:rFonts w:hint="eastAsia"/>
          <w:b/>
          <w:color w:val="000000" w:themeColor="text1"/>
          <w:sz w:val="26"/>
          <w:szCs w:val="26"/>
        </w:rPr>
        <w:t>审核组组长（签名）：</w:t>
      </w:r>
      <w:r>
        <w:drawing>
          <wp:inline distT="0" distB="0" distL="114300" distR="114300">
            <wp:extent cx="825500" cy="361315"/>
            <wp:effectExtent l="0" t="0" r="1270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lum contrast="96000"/>
                    </a:blip>
                    <a:stretch>
                      <a:fillRect/>
                    </a:stretch>
                  </pic:blipFill>
                  <pic:spPr>
                    <a:xfrm>
                      <a:off x="0" y="0"/>
                      <a:ext cx="825500" cy="361315"/>
                    </a:xfrm>
                    <a:prstGeom prst="rect">
                      <a:avLst/>
                    </a:prstGeom>
                    <a:noFill/>
                    <a:ln>
                      <a:noFill/>
                    </a:ln>
                  </pic:spPr>
                </pic:pic>
              </a:graphicData>
            </a:graphic>
          </wp:inline>
        </w:drawing>
      </w:r>
    </w:p>
    <w:p>
      <w:pPr>
        <w:snapToGrid w:val="0"/>
        <w:spacing w:after="156" w:afterLines="50" w:line="360" w:lineRule="auto"/>
        <w:ind w:left="191" w:leftChars="91" w:firstLine="454" w:firstLineChars="174"/>
        <w:jc w:val="left"/>
        <w:rPr>
          <w:rFonts w:ascii="宋体"/>
          <w:b/>
          <w:color w:val="000000"/>
          <w:sz w:val="26"/>
          <w:szCs w:val="26"/>
        </w:rPr>
      </w:pPr>
      <w:r>
        <w:rPr>
          <w:rFonts w:hint="eastAsia"/>
          <w:b/>
          <w:color w:val="000000" w:themeColor="text1"/>
          <w:sz w:val="26"/>
          <w:szCs w:val="26"/>
        </w:rPr>
        <w:t>审核组组员（签名）：</w:t>
      </w:r>
      <w:r>
        <w:rPr>
          <w:rFonts w:hint="eastAsia"/>
          <w:lang w:val="en-US" w:eastAsia="zh-CN"/>
        </w:rPr>
        <w:t xml:space="preserve">  </w:t>
      </w:r>
      <w:r>
        <w:rPr>
          <w:rFonts w:ascii="宋体" w:hAnsi="宋体"/>
          <w:kern w:val="2"/>
          <w:sz w:val="24"/>
          <w:lang w:val="en-US" w:eastAsia="zh-CN" w:bidi="ar-SA"/>
        </w:rPr>
        <w:drawing>
          <wp:inline distT="0" distB="0" distL="114300" distR="114300">
            <wp:extent cx="634365" cy="269240"/>
            <wp:effectExtent l="0" t="0" r="13335" b="16510"/>
            <wp:docPr id="4"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55fab08e72c964295c924bd5977bacc"/>
                    <pic:cNvPicPr>
                      <a:picLocks noChangeAspect="1"/>
                    </pic:cNvPicPr>
                  </pic:nvPicPr>
                  <pic:blipFill>
                    <a:blip r:embed="rId7"/>
                    <a:stretch>
                      <a:fillRect/>
                    </a:stretch>
                  </pic:blipFill>
                  <pic:spPr>
                    <a:xfrm>
                      <a:off x="0" y="0"/>
                      <a:ext cx="634365" cy="269240"/>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eastAsia="宋体"/>
          <w:lang w:eastAsia="zh-CN"/>
        </w:rPr>
        <w:drawing>
          <wp:inline distT="0" distB="0" distL="114300" distR="114300">
            <wp:extent cx="734060" cy="352425"/>
            <wp:effectExtent l="0" t="0" r="8255" b="8255"/>
            <wp:docPr id="3" name="图片 3"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夏楠楠"/>
                    <pic:cNvPicPr>
                      <a:picLocks noChangeAspect="1"/>
                    </pic:cNvPicPr>
                  </pic:nvPicPr>
                  <pic:blipFill>
                    <a:blip r:embed="rId8">
                      <a:lum contrast="78000"/>
                    </a:blip>
                    <a:srcRect l="3900" t="21851" r="21518" b="24422"/>
                    <a:stretch>
                      <a:fillRect/>
                    </a:stretch>
                  </pic:blipFill>
                  <pic:spPr>
                    <a:xfrm>
                      <a:off x="0" y="0"/>
                      <a:ext cx="734060" cy="352425"/>
                    </a:xfrm>
                    <a:prstGeom prst="rect">
                      <a:avLst/>
                    </a:prstGeom>
                    <a:noFill/>
                    <a:ln>
                      <a:noFill/>
                    </a:ln>
                  </pic:spPr>
                </pic:pic>
              </a:graphicData>
            </a:graphic>
          </wp:inline>
        </w:drawing>
      </w:r>
      <w:r>
        <w:rPr>
          <w:rFonts w:hint="eastAsia" w:eastAsia="宋体"/>
          <w:lang w:val="en-US" w:eastAsia="zh-CN"/>
        </w:rPr>
        <w:t xml:space="preserve"> </w:t>
      </w:r>
      <w:r>
        <w:drawing>
          <wp:inline distT="0" distB="0" distL="114300" distR="114300">
            <wp:extent cx="596900" cy="293370"/>
            <wp:effectExtent l="0" t="0" r="12700"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596900" cy="293370"/>
                    </a:xfrm>
                    <a:prstGeom prst="rect">
                      <a:avLst/>
                    </a:prstGeom>
                    <a:noFill/>
                    <a:ln>
                      <a:noFill/>
                    </a:ln>
                  </pic:spPr>
                </pic:pic>
              </a:graphicData>
            </a:graphic>
          </wp:inline>
        </w:drawing>
      </w:r>
      <w:r>
        <w:rPr>
          <w:rFonts w:hint="eastAsia"/>
          <w:lang w:val="en-US" w:eastAsia="zh-CN"/>
        </w:rPr>
        <w:t xml:space="preserve">    </w:t>
      </w: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2020年8月7</w:t>
      </w:r>
      <w:bookmarkStart w:id="25" w:name="_GoBack"/>
      <w:bookmarkEnd w:id="25"/>
      <w:r>
        <w:rPr>
          <w:rFonts w:hint="eastAsia" w:ascii="宋体" w:hAnsi="宋体"/>
          <w:b/>
          <w:color w:val="000000"/>
          <w:lang w:val="en-US" w:eastAsia="zh-CN"/>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CD064C"/>
    <w:rsid w:val="0A3E1E74"/>
    <w:rsid w:val="0C274872"/>
    <w:rsid w:val="0CC07463"/>
    <w:rsid w:val="13496761"/>
    <w:rsid w:val="176227C0"/>
    <w:rsid w:val="1A337F82"/>
    <w:rsid w:val="1CA00EE3"/>
    <w:rsid w:val="23745F7F"/>
    <w:rsid w:val="23EE5033"/>
    <w:rsid w:val="243D3575"/>
    <w:rsid w:val="28983987"/>
    <w:rsid w:val="360E7400"/>
    <w:rsid w:val="3ADE686E"/>
    <w:rsid w:val="44D029B3"/>
    <w:rsid w:val="4E430AC7"/>
    <w:rsid w:val="4F1713D3"/>
    <w:rsid w:val="4F800D81"/>
    <w:rsid w:val="595D0FC7"/>
    <w:rsid w:val="5D4B237C"/>
    <w:rsid w:val="616E1E26"/>
    <w:rsid w:val="67414285"/>
    <w:rsid w:val="67A065EA"/>
    <w:rsid w:val="6B5B5922"/>
    <w:rsid w:val="76073E42"/>
    <w:rsid w:val="762F18F2"/>
    <w:rsid w:val="7CB43FAF"/>
    <w:rsid w:val="7D344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2020-08-11T02:33:57Z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