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南昌方华纸业有限公司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江西省南昌市青山湖区昌东工业园解放东路1373号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330012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江西省南昌市青山湖区昌东工业园解放东路1373号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330012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913601115686640106</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13576906439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刘南方</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杨丽珍</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纸制品加工的售后服务（配送）。</w:t>
      </w:r>
      <w:bookmarkEnd w:id="14"/>
      <w:bookmarkStart w:id="15" w:name="_GoBack"/>
      <w:bookmarkStart w:id="16" w:name="审核范围英"/>
      <w:r>
        <w:rPr>
          <w:rFonts w:hint="eastAsia"/>
          <w:b/>
          <w:color w:val="000000" w:themeColor="text1"/>
          <w:sz w:val="22"/>
          <w:szCs w:val="22"/>
        </w:rPr>
        <w:t>纸制品加工的售后服务（配送）。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