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河北泽安润达科技有限公司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2019-N0QMS-1248076</w:t>
            </w:r>
          </w:p>
          <w:p>
            <w:pPr>
              <w:snapToGrid w:val="0"/>
              <w:spacing w:line="320" w:lineRule="exact"/>
              <w:ind w:left="1309"/>
              <w:rPr>
                <w:sz w:val="22"/>
                <w:szCs w:val="22"/>
                <w:highlight w:val="none"/>
              </w:rPr>
            </w:pPr>
            <w:r>
              <w:rPr>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夏爱俭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p>
            <w:pPr>
              <w:snapToGrid w:val="0"/>
              <w:spacing w:line="320" w:lineRule="exact"/>
              <w:ind w:left="1309"/>
              <w:rPr>
                <w:sz w:val="22"/>
                <w:szCs w:val="22"/>
                <w:highlight w:val="none"/>
              </w:rPr>
            </w:pPr>
            <w:r>
              <w:rPr>
                <w:sz w:val="22"/>
                <w:szCs w:val="22"/>
                <w:highlight w:val="none"/>
              </w:rPr>
              <w:t>北京国标联合认证有限公司(时光漫步（北京）科技有限公司)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2020年9月5日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C96AE0"/>
    <w:rsid w:val="330B1E25"/>
    <w:rsid w:val="3B2E0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cp:lastPrinted>2020-09-08T02:09:24Z</cp:lastPrinted>
  <dcterms:modified xsi:type="dcterms:W3CDTF">2020-09-08T02:09:32Z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