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28"/>
          <w:szCs w:val="28"/>
        </w:rPr>
      </w:pPr>
      <w:r>
        <w:rPr>
          <w:rFonts w:hint="eastAsia" w:ascii="楷体" w:hAnsi="楷体" w:eastAsia="楷体"/>
          <w:color w:val="000000"/>
          <w:sz w:val="28"/>
          <w:szCs w:val="28"/>
        </w:rPr>
        <w:t>合同编号：</w:t>
      </w:r>
      <w:bookmarkStart w:id="0" w:name="合同编号"/>
      <w:r>
        <w:rPr>
          <w:rFonts w:hint="eastAsia" w:ascii="Times New Roman" w:hAnsi="Times New Roman" w:eastAsia="楷体" w:cs="Times New Roman"/>
          <w:b w:val="0"/>
          <w:bCs w:val="0"/>
          <w:color w:val="000000"/>
          <w:sz w:val="21"/>
          <w:szCs w:val="21"/>
        </w:rPr>
        <w:t>0111-2020-E</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河北铭宇通信器材有限公司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hint="default"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lang w:val="en-US" w:eastAsia="zh-CN"/>
              </w:rPr>
              <w:t>补充+扩项</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hAnsi="宋体" w:cs="Times New Roman"/>
                <w:b w:val="0"/>
                <w:bCs w:val="0"/>
                <w:sz w:val="20"/>
                <w:szCs w:val="22"/>
                <w:lang w:val="en-US" w:eastAsia="zh-CN"/>
              </w:rPr>
              <w:t>对远程初次审核的现场补充验证，</w:t>
            </w:r>
            <w:r>
              <w:rPr>
                <w:rFonts w:hint="eastAsia" w:ascii="宋体" w:hAnsi="宋体"/>
                <w:b w:val="0"/>
                <w:bCs w:val="0"/>
                <w:sz w:val="20"/>
                <w:u w:val="none"/>
              </w:rPr>
              <w:t>验证组织管理体系是否持续有效运行，以确定是否推荐</w:t>
            </w:r>
            <w:r>
              <w:rPr>
                <w:rFonts w:hint="eastAsia" w:ascii="宋体" w:hAnsi="宋体"/>
                <w:b w:val="0"/>
                <w:bCs w:val="0"/>
                <w:sz w:val="20"/>
                <w:u w:val="none"/>
                <w:lang w:val="en-US" w:eastAsia="zh-CN"/>
              </w:rPr>
              <w:t>继续</w:t>
            </w:r>
            <w:r>
              <w:rPr>
                <w:rFonts w:hint="eastAsia" w:ascii="宋体" w:hAnsi="宋体"/>
                <w:b w:val="0"/>
                <w:bCs w:val="0"/>
                <w:sz w:val="20"/>
                <w:u w:val="none"/>
              </w:rPr>
              <w:t>保持认证注册资格</w:t>
            </w:r>
            <w:r>
              <w:rPr>
                <w:rFonts w:hint="eastAsia" w:ascii="宋体" w:hAnsi="宋体"/>
                <w:b w:val="0"/>
                <w:bCs w:val="0"/>
                <w:sz w:val="20"/>
                <w:u w:val="none"/>
                <w:lang w:eastAsia="zh-CN"/>
              </w:rPr>
              <w:t>，</w:t>
            </w:r>
            <w:r>
              <w:rPr>
                <w:rFonts w:hint="eastAsia" w:ascii="宋体" w:hAnsi="宋体"/>
                <w:b w:val="0"/>
                <w:bCs w:val="0"/>
                <w:sz w:val="20"/>
                <w:szCs w:val="22"/>
                <w:u w:val="none"/>
                <w:lang w:val="en-US" w:eastAsia="zh-CN"/>
              </w:rPr>
              <w:t>并确定是否扩大认证范围</w:t>
            </w:r>
            <w:r>
              <w:rPr>
                <w:rFonts w:hint="eastAsia" w:ascii="宋体" w:cs="宋体" w:hAnsiTheme="minorHAnsi"/>
                <w:b w:val="0"/>
                <w:bCs w:val="0"/>
                <w:color w:val="000000" w:themeColor="text1"/>
                <w:kern w:val="0"/>
                <w:sz w:val="20"/>
                <w:szCs w:val="20"/>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A/1</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A/1</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224"/>
        <w:gridCol w:w="1164"/>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河北铭宇通信器材有限公司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注册地址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lang w:eastAsia="zh-CN"/>
              </w:rPr>
              <w:t>任丘市麻家坞镇南马庄村</w:t>
            </w:r>
          </w:p>
        </w:tc>
        <w:tc>
          <w:tcPr>
            <w:tcW w:w="818" w:type="dxa"/>
            <w:gridSpan w:val="2"/>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经营地址</w:t>
            </w:r>
          </w:p>
        </w:tc>
        <w:tc>
          <w:tcPr>
            <w:tcW w:w="47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lang w:eastAsia="zh-CN"/>
              </w:rPr>
              <w:t>任丘市麻家坞镇南马庄村</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lang w:val="en-US" w:eastAsia="zh-CN"/>
              </w:rPr>
              <w:t>062554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联系人</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lang w:val="en-US" w:eastAsia="zh-CN"/>
              </w:rPr>
              <w:t>马胜君</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电话</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rPr>
              <w:t>13832770866</w:t>
            </w:r>
          </w:p>
        </w:tc>
        <w:tc>
          <w:tcPr>
            <w:tcW w:w="818"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bookmarkStart w:id="5" w:name="联系人传真"/>
            <w:bookmarkEnd w:id="5"/>
            <w:r>
              <w:rPr>
                <w:rFonts w:hint="default" w:ascii="Times New Roman" w:hAnsi="Times New Roman" w:cs="Times New Roman"/>
                <w:b/>
                <w:color w:val="000000"/>
                <w:sz w:val="20"/>
                <w:szCs w:val="20"/>
              </w:rPr>
              <w:t>传真</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color w:val="auto"/>
                <w:szCs w:val="21"/>
                <w:lang w:val="en-US" w:eastAsia="zh-CN"/>
              </w:rPr>
              <w:t>0317-2660001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法人代表</w:t>
            </w:r>
          </w:p>
        </w:tc>
        <w:tc>
          <w:tcPr>
            <w:tcW w:w="175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szCs w:val="21"/>
                <w:lang w:val="en-US" w:eastAsia="zh-CN"/>
              </w:rPr>
              <w:t>马胜君</w:t>
            </w:r>
          </w:p>
        </w:tc>
        <w:tc>
          <w:tcPr>
            <w:tcW w:w="1647"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管理者代表</w:t>
            </w:r>
          </w:p>
        </w:tc>
        <w:tc>
          <w:tcPr>
            <w:tcW w:w="1388"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color w:val="000000"/>
                <w:kern w:val="2"/>
                <w:sz w:val="20"/>
                <w:szCs w:val="20"/>
                <w:lang w:val="en-US" w:eastAsia="zh-CN" w:bidi="ar-SA"/>
              </w:rPr>
            </w:pPr>
            <w:bookmarkStart w:id="6" w:name="最高管理者"/>
            <w:bookmarkEnd w:id="6"/>
            <w:r>
              <w:rPr>
                <w:rFonts w:hint="default" w:ascii="Times New Roman" w:hAnsi="Times New Roman" w:cs="Times New Roman"/>
                <w:szCs w:val="21"/>
                <w:lang w:val="en-US" w:eastAsia="zh-CN"/>
              </w:rPr>
              <w:t>马胜君</w:t>
            </w:r>
          </w:p>
        </w:tc>
        <w:tc>
          <w:tcPr>
            <w:tcW w:w="818" w:type="dxa"/>
            <w:gridSpan w:val="2"/>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000000"/>
                <w:kern w:val="2"/>
                <w:sz w:val="20"/>
                <w:szCs w:val="20"/>
                <w:lang w:val="en-US" w:eastAsia="zh-CN" w:bidi="ar-SA"/>
              </w:rPr>
            </w:pPr>
            <w:r>
              <w:rPr>
                <w:rFonts w:hint="default" w:ascii="Times New Roman" w:hAnsi="Times New Roman" w:cs="Times New Roman"/>
                <w:b/>
                <w:color w:val="000000"/>
                <w:sz w:val="20"/>
                <w:szCs w:val="20"/>
              </w:rPr>
              <w:t>邮箱</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13832770866@139.com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产品/服务</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7" w:name="审核范围"/>
            <w:r>
              <w:rPr>
                <w:sz w:val="20"/>
              </w:rPr>
              <w:t>通信光缆、塑料通信器材、钢绞线、通信铁件、电话线、通信箱体、线路铁件（电力铁附件）、线路警示牌、标识牌、通信井具、电力铁件</w:t>
            </w:r>
            <w:r>
              <w:rPr>
                <w:rFonts w:hint="eastAsia"/>
                <w:sz w:val="20"/>
                <w:lang w:eastAsia="zh-CN"/>
              </w:rPr>
              <w:t>、</w:t>
            </w:r>
            <w:r>
              <w:rPr>
                <w:rFonts w:hint="eastAsia" w:ascii="宋体" w:hAnsi="宋体"/>
                <w:color w:val="FF0000"/>
                <w:sz w:val="21"/>
                <w:szCs w:val="21"/>
                <w:lang w:eastAsia="zh-CN"/>
              </w:rPr>
              <w:t>电力管材（PE管材、PVC管材、MPP管材）、走线架</w:t>
            </w:r>
            <w:r>
              <w:rPr>
                <w:sz w:val="20"/>
              </w:rPr>
              <w:t>的销售及其相关的环境管理活动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628"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1982"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8" w:name="体系运行时间"/>
            <w:bookmarkEnd w:id="8"/>
            <w:r>
              <w:rPr>
                <w:rFonts w:hint="eastAsia" w:ascii="宋体"/>
                <w:b/>
                <w:color w:val="000000"/>
                <w:sz w:val="20"/>
                <w:szCs w:val="20"/>
                <w:lang w:val="en-US" w:eastAsia="zh-CN"/>
              </w:rPr>
              <w:t>2019年9月1日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2020.4.18-19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sz w:val="20"/>
                <w:lang w:val="en-US" w:eastAsia="zh-CN"/>
              </w:rPr>
            </w:pPr>
            <w:r>
              <w:rPr>
                <w:rFonts w:hint="eastAsia"/>
                <w:sz w:val="20"/>
                <w:lang w:val="en-US" w:eastAsia="zh-CN"/>
              </w:rPr>
              <w:t>原范围：</w:t>
            </w:r>
            <w:r>
              <w:rPr>
                <w:sz w:val="20"/>
              </w:rPr>
              <w:t>通信光缆、塑料通信器材、钢绞线、通信铁件、电话线、通信箱体、线路铁件（电力铁附件）、线路警示牌、标识牌、通信井具、电力铁件的销售及其相关的环境管理活动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sz w:val="20"/>
                <w:lang w:val="en-US" w:eastAsia="zh-CN"/>
              </w:rPr>
              <w:t>变更后范围：</w:t>
            </w:r>
            <w:r>
              <w:rPr>
                <w:sz w:val="20"/>
              </w:rPr>
              <w:t>通信光缆、塑料通信器材、钢绞线、通信铁件、电话线、通信箱体、线路铁件（电力铁附件）、线路警示牌、标识牌、通信井具、电力铁件</w:t>
            </w:r>
            <w:r>
              <w:rPr>
                <w:rFonts w:hint="eastAsia"/>
                <w:sz w:val="20"/>
                <w:lang w:eastAsia="zh-CN"/>
              </w:rPr>
              <w:t>、</w:t>
            </w:r>
            <w:r>
              <w:rPr>
                <w:rFonts w:hint="eastAsia" w:ascii="宋体" w:hAnsi="宋体"/>
                <w:color w:val="FF0000"/>
                <w:sz w:val="21"/>
                <w:szCs w:val="21"/>
                <w:lang w:eastAsia="zh-CN"/>
              </w:rPr>
              <w:t>电力管材（PE管材、PVC管材、MPP管材）、走线架</w:t>
            </w:r>
            <w:r>
              <w:rPr>
                <w:sz w:val="20"/>
              </w:rPr>
              <w:t>的销售及其相关的环境管理活动</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2"/>
        <w:gridCol w:w="1563"/>
        <w:gridCol w:w="1173"/>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产品名称/服务名称</w:t>
            </w:r>
          </w:p>
        </w:tc>
        <w:tc>
          <w:tcPr>
            <w:tcW w:w="156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型号/服务类型</w:t>
            </w:r>
          </w:p>
        </w:tc>
        <w:tc>
          <w:tcPr>
            <w:tcW w:w="117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24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2"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sz w:val="20"/>
              </w:rPr>
              <w:t>通信光缆、塑料通信器材、钢绞线、通信铁件、电话线、通信箱体、线路铁件（电力铁附件）、线路警示牌、标识牌、通信井具、电力铁件</w:t>
            </w:r>
            <w:r>
              <w:rPr>
                <w:rFonts w:hint="eastAsia"/>
                <w:sz w:val="20"/>
                <w:lang w:eastAsia="zh-CN"/>
              </w:rPr>
              <w:t>、</w:t>
            </w:r>
            <w:r>
              <w:rPr>
                <w:rFonts w:hint="eastAsia" w:ascii="宋体" w:hAnsi="宋体"/>
                <w:color w:val="FF0000"/>
                <w:sz w:val="21"/>
                <w:szCs w:val="21"/>
                <w:lang w:eastAsia="zh-CN"/>
              </w:rPr>
              <w:t>电力管材（PE管材、PVC管材、MPP管材）、走线架</w:t>
            </w:r>
            <w:r>
              <w:rPr>
                <w:sz w:val="20"/>
              </w:rPr>
              <w:t>的销售</w:t>
            </w:r>
          </w:p>
        </w:tc>
        <w:tc>
          <w:tcPr>
            <w:tcW w:w="156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17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2401"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r>
        <w:rPr>
          <w:rFonts w:hint="eastAsia"/>
          <w:b/>
          <w:color w:val="000000" w:themeColor="text1"/>
          <w:spacing w:val="-10"/>
          <w:szCs w:val="21"/>
          <w:lang w:val="en-US" w:eastAsia="zh-CN"/>
        </w:rPr>
        <w:t>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日至</w:t>
      </w:r>
      <w:r>
        <w:rPr>
          <w:rFonts w:hint="eastAsia"/>
          <w:b/>
          <w:color w:val="000000" w:themeColor="text1"/>
          <w:spacing w:val="-10"/>
          <w:szCs w:val="21"/>
          <w:lang w:val="en-US" w:eastAsia="zh-CN"/>
        </w:rPr>
        <w:t>19</w:t>
      </w:r>
      <w:r>
        <w:rPr>
          <w:rFonts w:hint="eastAsia"/>
          <w:b/>
          <w:color w:val="000000" w:themeColor="text1"/>
          <w:spacing w:val="-10"/>
          <w:szCs w:val="21"/>
        </w:rPr>
        <w:t>日（</w:t>
      </w:r>
      <w:r>
        <w:rPr>
          <w:rFonts w:hint="eastAsia"/>
          <w:b/>
          <w:color w:val="000000" w:themeColor="text1"/>
          <w:spacing w:val="-10"/>
          <w:szCs w:val="21"/>
          <w:lang w:val="en-US" w:eastAsia="zh-CN"/>
        </w:rPr>
        <w:t>远程审核</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lang w:val="en-US" w:eastAsia="zh-CN"/>
              </w:rPr>
              <w:t xml:space="preserve"> </w:t>
            </w:r>
            <w:r>
              <w:rPr>
                <w:rFonts w:hint="eastAsia" w:cs="宋体"/>
              </w:rPr>
              <w:t>管理方针：科学管理，遵守法规，预防污染，持续改进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12"/>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keepNext w:val="0"/>
              <w:keepLines w:val="0"/>
              <w:pageBreakBefore w:val="0"/>
              <w:tabs>
                <w:tab w:val="left" w:pos="0"/>
              </w:tabs>
              <w:kinsoku/>
              <w:wordWrap/>
              <w:overflowPunct/>
              <w:topLinePunct w:val="0"/>
              <w:autoSpaceDE/>
              <w:autoSpaceDN/>
              <w:bidi w:val="0"/>
              <w:adjustRightInd/>
              <w:snapToGrid/>
              <w:spacing w:line="380" w:lineRule="exact"/>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：固体废物100%分类收集；杜绝火灾事故发生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w:t>
            </w:r>
            <w:r>
              <w:rPr>
                <w:rFonts w:hint="eastAsia" w:cs="宋体"/>
                <w:lang w:val="en-US" w:eastAsia="zh-CN"/>
              </w:rPr>
              <w:t>查看2020年2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地点位于任丘市麻家坞镇南马庄村，</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100平米、库房300平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80" w:lineRule="exact"/>
              <w:textAlignment w:val="auto"/>
            </w:pPr>
            <w:r>
              <w:t>1.</w:t>
            </w:r>
            <w:r>
              <w:rPr>
                <w:rFonts w:hint="eastAsia" w:cs="宋体"/>
              </w:rPr>
              <w:t>管理方针：</w:t>
            </w:r>
            <w:r>
              <w:rPr>
                <w:rFonts w:hint="eastAsia" w:ascii="Times New Roman" w:hAnsi="Times New Roman" w:cs="宋体"/>
              </w:rPr>
              <w:t>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配有灭火器及固废分类处置装置</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办公区域、库房</w:t>
            </w:r>
            <w:r>
              <w:rPr>
                <w:rFonts w:hint="eastAsia"/>
                <w:sz w:val="21"/>
                <w:szCs w:val="21"/>
              </w:rPr>
              <w:t>配置灭火器等消防设施</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8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8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9年12月3-4日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按照策划的安排于</w:t>
            </w:r>
            <w:r>
              <w:t>201</w:t>
            </w:r>
            <w:r>
              <w:rPr>
                <w:rFonts w:hint="eastAsia"/>
                <w:lang w:val="en-US" w:eastAsia="zh-CN"/>
              </w:rPr>
              <w:t>9</w:t>
            </w:r>
            <w:r>
              <w:rPr>
                <w:rFonts w:hint="eastAsia" w:cs="宋体"/>
              </w:rPr>
              <w:t>年</w:t>
            </w:r>
            <w:r>
              <w:rPr>
                <w:rFonts w:hint="eastAsia"/>
                <w:lang w:val="en-US" w:eastAsia="zh-CN"/>
              </w:rPr>
              <w:t>12</w:t>
            </w:r>
            <w:r>
              <w:rPr>
                <w:rFonts w:hint="eastAsia" w:cs="宋体"/>
              </w:rPr>
              <w:t>月</w:t>
            </w:r>
            <w:r>
              <w:rPr>
                <w:rFonts w:hint="eastAsia"/>
                <w:lang w:val="en-US" w:eastAsia="zh-CN"/>
              </w:rPr>
              <w:t>16</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6"/>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b/>
                <w:color w:val="000000"/>
                <w:sz w:val="21"/>
                <w:szCs w:val="21"/>
                <w:lang w:eastAsia="zh-CN"/>
              </w:rPr>
            </w:pPr>
            <w:r>
              <w:rPr>
                <w:rFonts w:hint="eastAsia"/>
                <w:b/>
                <w:color w:val="000000"/>
                <w:sz w:val="21"/>
                <w:szCs w:val="21"/>
                <w:lang w:val="en-US" w:eastAsia="zh-CN"/>
              </w:rPr>
              <w:t>1.</w:t>
            </w:r>
            <w:r>
              <w:rPr>
                <w:rFonts w:hint="eastAsia"/>
                <w:b/>
                <w:color w:val="000000"/>
                <w:sz w:val="21"/>
                <w:szCs w:val="21"/>
              </w:rPr>
              <w:t>纠正/预防措施的实施及效果</w:t>
            </w:r>
          </w:p>
          <w:p>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color w:val="000000"/>
                <w:kern w:val="2"/>
                <w:sz w:val="21"/>
                <w:szCs w:val="21"/>
                <w:lang w:val="en-US" w:eastAsia="zh-CN" w:bidi="ar-SA"/>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keepNext w:val="0"/>
              <w:keepLines w:val="0"/>
              <w:pageBreakBefore w:val="0"/>
              <w:numPr>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eastAsia="宋体" w:cs="Times New Roman"/>
                <w:b/>
                <w:kern w:val="2"/>
                <w:sz w:val="21"/>
                <w:szCs w:val="21"/>
                <w:lang w:val="en-US" w:eastAsia="zh-CN" w:bidi="ar-SA"/>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4"/>
              </w:numPr>
              <w:kinsoku/>
              <w:wordWrap/>
              <w:overflowPunct/>
              <w:topLinePunct w:val="0"/>
              <w:autoSpaceDE/>
              <w:autoSpaceDN/>
              <w:bidi w:val="0"/>
              <w:adjustRightInd/>
              <w:snapToGrid/>
              <w:spacing w:line="360" w:lineRule="exact"/>
              <w:ind w:left="105" w:leftChars="0" w:hanging="105" w:hangingChars="50"/>
              <w:textAlignment w:val="auto"/>
              <w:rPr>
                <w:rFonts w:hint="eastAsia" w:ascii="宋体" w:hAnsi="宋体"/>
                <w:b/>
                <w:sz w:val="21"/>
                <w:szCs w:val="21"/>
                <w:lang w:eastAsia="zh-CN"/>
              </w:rPr>
            </w:pPr>
            <w:r>
              <w:rPr>
                <w:rFonts w:hint="eastAsia" w:ascii="宋体" w:hAnsi="宋体"/>
                <w:b/>
                <w:sz w:val="21"/>
                <w:szCs w:val="21"/>
              </w:rPr>
              <w:t>创新情况</w:t>
            </w:r>
          </w:p>
          <w:p>
            <w:pPr>
              <w:keepNext w:val="0"/>
              <w:keepLines w:val="0"/>
              <w:pageBreakBefore w:val="0"/>
              <w:numPr>
                <w:numId w:val="0"/>
              </w:numPr>
              <w:kinsoku/>
              <w:wordWrap/>
              <w:overflowPunct/>
              <w:topLinePunct w:val="0"/>
              <w:autoSpaceDE/>
              <w:autoSpaceDN/>
              <w:bidi w:val="0"/>
              <w:adjustRightInd/>
              <w:snapToGrid/>
              <w:spacing w:line="360" w:lineRule="exact"/>
              <w:ind w:leftChars="-50" w:firstLine="210" w:firstLineChars="100"/>
              <w:textAlignment w:val="auto"/>
              <w:rPr>
                <w:rFonts w:hint="default" w:ascii="宋体" w:hAnsi="宋体" w:eastAsia="宋体" w:cs="Times New Roman"/>
                <w:b/>
                <w:kern w:val="2"/>
                <w:sz w:val="21"/>
                <w:szCs w:val="21"/>
                <w:lang w:val="en-US" w:eastAsia="zh-CN" w:bidi="ar-SA"/>
              </w:rPr>
            </w:pPr>
            <w:r>
              <w:rPr>
                <w:rFonts w:hint="eastAsia"/>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0"/>
              </w:numPr>
              <w:kinsoku/>
              <w:wordWrap/>
              <w:overflowPunct/>
              <w:topLinePunct w:val="0"/>
              <w:autoSpaceDE/>
              <w:autoSpaceDN/>
              <w:bidi w:val="0"/>
              <w:adjustRightInd/>
              <w:snapToGrid/>
              <w:spacing w:line="360" w:lineRule="exact"/>
              <w:ind w:leftChars="-50" w:firstLine="211" w:firstLineChars="100"/>
              <w:textAlignment w:val="auto"/>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上次不符合的整改情况</w:t>
            </w:r>
          </w:p>
          <w:p>
            <w:pPr>
              <w:keepNext w:val="0"/>
              <w:keepLines w:val="0"/>
              <w:pageBreakBefore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Times New Roman"/>
                <w:b/>
                <w:kern w:val="2"/>
                <w:sz w:val="21"/>
                <w:szCs w:val="21"/>
                <w:lang w:val="en-US" w:eastAsia="zh-CN" w:bidi="ar-SA"/>
              </w:rPr>
            </w:pPr>
            <w:r>
              <w:rPr>
                <w:rFonts w:hint="eastAsia"/>
                <w:color w:val="auto"/>
                <w:sz w:val="21"/>
                <w:szCs w:val="21"/>
              </w:rPr>
              <w:t>上次审核发现的不符合项</w:t>
            </w:r>
            <w:r>
              <w:rPr>
                <w:rFonts w:hint="eastAsia"/>
                <w:color w:val="auto"/>
                <w:sz w:val="21"/>
                <w:szCs w:val="21"/>
                <w:lang w:eastAsia="zh-CN"/>
              </w:rPr>
              <w:t>为</w:t>
            </w:r>
            <w:r>
              <w:rPr>
                <w:rFonts w:hint="eastAsia"/>
                <w:color w:val="auto"/>
                <w:sz w:val="21"/>
                <w:szCs w:val="21"/>
                <w:lang w:val="en-US" w:eastAsia="zh-CN"/>
              </w:rPr>
              <w:t>办公室GB/T 45001-2020标准8.2条款，</w:t>
            </w:r>
            <w:r>
              <w:rPr>
                <w:rFonts w:hint="eastAsia"/>
                <w:color w:val="auto"/>
                <w:sz w:val="21"/>
                <w:szCs w:val="21"/>
              </w:rPr>
              <w:t>相关责任部门对</w:t>
            </w:r>
            <w:r>
              <w:rPr>
                <w:rFonts w:hint="eastAsia"/>
                <w:color w:val="auto"/>
                <w:sz w:val="21"/>
                <w:szCs w:val="21"/>
                <w:lang w:eastAsia="zh-CN"/>
              </w:rPr>
              <w:t>其</w:t>
            </w:r>
            <w:r>
              <w:rPr>
                <w:rFonts w:hint="eastAsia"/>
                <w:color w:val="auto"/>
                <w:sz w:val="21"/>
                <w:szCs w:val="21"/>
              </w:rPr>
              <w:t>进行了原因分析，制定并采取了</w:t>
            </w:r>
            <w:r>
              <w:rPr>
                <w:rFonts w:hint="eastAsia"/>
                <w:color w:val="auto"/>
                <w:sz w:val="21"/>
                <w:szCs w:val="21"/>
                <w:lang w:eastAsia="zh-CN"/>
              </w:rPr>
              <w:t>纠正及</w:t>
            </w:r>
            <w:r>
              <w:rPr>
                <w:rFonts w:hint="eastAsia"/>
                <w:color w:val="auto"/>
                <w:sz w:val="21"/>
                <w:szCs w:val="21"/>
              </w:rPr>
              <w:t>纠正措施，</w:t>
            </w:r>
            <w:r>
              <w:rPr>
                <w:rFonts w:hint="eastAsia"/>
                <w:color w:val="auto"/>
                <w:sz w:val="21"/>
                <w:szCs w:val="21"/>
                <w:lang w:val="en-US" w:eastAsia="zh-CN"/>
              </w:rPr>
              <w:t>本次审核未发生类似问题，采取的纠正措施有效。</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422" w:firstLineChars="200"/>
        <w:rPr>
          <w:b/>
          <w:color w:val="000000" w:themeColor="text1"/>
        </w:rPr>
      </w:pPr>
      <w:r>
        <w:rPr>
          <w:rFonts w:hint="eastAsia"/>
          <w:b/>
          <w:color w:val="000000" w:themeColor="text1"/>
        </w:rPr>
        <w:t>本次审核共开具不符合项报告项；其中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项。（Q/J/E/S分开填写）</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191" w:leftChars="-337" w:hanging="517" w:hangingChars="271"/>
        <w:rPr>
          <w:b/>
          <w:color w:val="000000" w:themeColor="text1"/>
          <w:spacing w:val="-10"/>
          <w:szCs w:val="21"/>
        </w:rPr>
      </w:pPr>
    </w:p>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河北铭宇通信器材有限公司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sz w:val="20"/>
              </w:rPr>
              <w:t>通信光缆、塑料通信器材、钢绞线、通信铁件、电话线、通信箱体、线路铁件（电力铁附件）、线路警示牌、标识牌、通信井具、电力铁件</w:t>
            </w:r>
            <w:r>
              <w:rPr>
                <w:rFonts w:hint="eastAsia"/>
                <w:sz w:val="20"/>
                <w:lang w:eastAsia="zh-CN"/>
              </w:rPr>
              <w:t>、</w:t>
            </w:r>
            <w:r>
              <w:rPr>
                <w:rFonts w:hint="eastAsia" w:ascii="宋体" w:hAnsi="宋体"/>
                <w:color w:val="FF0000"/>
                <w:sz w:val="21"/>
                <w:szCs w:val="21"/>
                <w:lang w:eastAsia="zh-CN"/>
              </w:rPr>
              <w:t>电力管材（PE管材、PVC管材、MPP管材）、走线架</w:t>
            </w:r>
            <w:r>
              <w:rPr>
                <w:sz w:val="20"/>
              </w:rPr>
              <w:t>的销售及其相关的环境管理活动</w:t>
            </w:r>
            <w:r>
              <w:rPr>
                <w:rFonts w:hint="eastAsia"/>
                <w:b/>
                <w:color w:val="000000" w:themeColor="text1"/>
                <w:spacing w:val="-10"/>
                <w:szCs w:val="21"/>
              </w:rPr>
              <w:t>□</w:t>
            </w:r>
            <w:r>
              <w:rPr>
                <w:rFonts w:hint="eastAsia"/>
                <w:b/>
                <w:color w:val="000000" w:themeColor="text1"/>
              </w:rPr>
              <w:t>审核范围变更，</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9</w:t>
      </w:r>
      <w:bookmarkStart w:id="11" w:name="_GoBack"/>
      <w:bookmarkEnd w:id="11"/>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195" w:leftChars="-33" w:hanging="264" w:hangingChars="101"/>
        <w:rPr>
          <w:rFonts w:hint="eastAsia"/>
          <w:b/>
          <w:color w:val="000000" w:themeColor="text1"/>
          <w:sz w:val="26"/>
          <w:szCs w:val="26"/>
        </w:rPr>
      </w:pPr>
    </w:p>
    <w:p>
      <w:pPr>
        <w:snapToGrid w:val="0"/>
        <w:spacing w:line="360" w:lineRule="auto"/>
        <w:ind w:left="195" w:leftChars="-33" w:hanging="264" w:hangingChars="101"/>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napToGrid w:val="0"/>
        <w:spacing w:before="156" w:beforeLines="50" w:after="156" w:afterLines="50" w:line="240" w:lineRule="exact"/>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hint="eastAsia" w:ascii="宋体" w:hAnsi="宋体"/>
          <w:b/>
          <w:color w:val="000000" w:themeColor="text1"/>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0" w:name="_Hlk8555230"/>
    <w:r>
      <w:pict>
        <v:shape id="_x0000_s3073" o:spid="_x0000_s3073" o:spt="202" type="#_x0000_t202" style="position:absolute;left:0pt;margin-left:236.2pt;margin-top:5.25pt;height:20.2pt;width:177.25pt;z-index:251658240;mso-width-relative:page;mso-height-relative:page;" fillcolor="#FFFFFF" filled="t" stroked="f" coordsize="21600,21600">
          <v:path/>
          <v:fill on="t" color2="#FFFFFF"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D ISC-B-II-13 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FEE95"/>
    <w:multiLevelType w:val="singleLevel"/>
    <w:tmpl w:val="C74FEE95"/>
    <w:lvl w:ilvl="0" w:tentative="0">
      <w:start w:val="2"/>
      <w:numFmt w:val="decimal"/>
      <w:suff w:val="nothing"/>
      <w:lvlText w:val="%1、"/>
      <w:lvlJc w:val="left"/>
    </w:lvl>
  </w:abstractNum>
  <w:abstractNum w:abstractNumId="1">
    <w:nsid w:val="04016EC4"/>
    <w:multiLevelType w:val="singleLevel"/>
    <w:tmpl w:val="04016EC4"/>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73FC62"/>
    <w:multiLevelType w:val="singleLevel"/>
    <w:tmpl w:val="5F73FC62"/>
    <w:lvl w:ilvl="0" w:tentative="0">
      <w:start w:val="9"/>
      <w:numFmt w:val="decimal"/>
      <w:suff w:val="space"/>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7BC294AD"/>
    <w:multiLevelType w:val="singleLevel"/>
    <w:tmpl w:val="7BC294AD"/>
    <w:lvl w:ilvl="0" w:tentative="0">
      <w:start w:val="5"/>
      <w:numFmt w:val="decimal"/>
      <w:suff w:val="space"/>
      <w:lvlText w:val="%1."/>
      <w:lvlJc w:val="left"/>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5C248A"/>
    <w:rsid w:val="3C9A0372"/>
    <w:rsid w:val="3E202DB7"/>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2020-08-10T09:56:21Z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