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CB0EAF" w:rsidP="00A87EE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B0EAF" w:rsidP="00A87EE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361E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北京华伍创新科技有限公司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B0E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18.08.00;29.10.07</w:t>
            </w:r>
            <w:bookmarkEnd w:id="5"/>
            <w:bookmarkEnd w:id="6"/>
          </w:p>
        </w:tc>
      </w:tr>
      <w:tr w:rsidR="00E361E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A87E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A87E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18.08.00;29.10.07</w:t>
            </w:r>
          </w:p>
        </w:tc>
        <w:tc>
          <w:tcPr>
            <w:tcW w:w="1720" w:type="dxa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361E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CB0EA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A87E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AE4B04" w:rsidRDefault="00A87E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张玉</w:t>
            </w:r>
          </w:p>
        </w:tc>
        <w:tc>
          <w:tcPr>
            <w:tcW w:w="1290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61E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B0E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61ED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87EE0" w:rsidRPr="00A87EE0" w:rsidRDefault="00A87EE0" w:rsidP="00A87EE0">
            <w:pPr>
              <w:tabs>
                <w:tab w:val="left" w:pos="6390"/>
              </w:tabs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  <w:r w:rsidRPr="00A87EE0">
              <w:rPr>
                <w:rFonts w:ascii="楷体" w:eastAsia="楷体" w:hAnsi="楷体" w:hint="eastAsia"/>
                <w:sz w:val="21"/>
                <w:szCs w:val="21"/>
              </w:rPr>
              <w:t>1）维修工艺流程</w:t>
            </w:r>
          </w:p>
          <w:p w:rsidR="00A87EE0" w:rsidRPr="00A87EE0" w:rsidRDefault="00A87EE0" w:rsidP="00A87EE0">
            <w:pPr>
              <w:tabs>
                <w:tab w:val="left" w:pos="6390"/>
              </w:tabs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  <w:r w:rsidRPr="00A87EE0">
              <w:rPr>
                <w:rFonts w:ascii="楷体" w:eastAsia="楷体" w:hAnsi="楷体" w:hint="eastAsia"/>
                <w:sz w:val="21"/>
                <w:szCs w:val="21"/>
              </w:rPr>
              <w:t>客户接触--与客户沟通故障原因分析--客户提出修复要求--提供维修步骤及方案、更换的零部件和所需费用--客户确认--派工--维修--自检--客户验收出具验收单--合理化建议--付款</w:t>
            </w:r>
          </w:p>
          <w:p w:rsidR="00A87EE0" w:rsidRPr="00A87EE0" w:rsidRDefault="00A87EE0" w:rsidP="00A87EE0">
            <w:pPr>
              <w:rPr>
                <w:rFonts w:ascii="楷体" w:eastAsia="楷体" w:hAnsi="楷体"/>
                <w:sz w:val="21"/>
                <w:szCs w:val="21"/>
              </w:rPr>
            </w:pPr>
            <w:r w:rsidRPr="00A87EE0">
              <w:rPr>
                <w:rFonts w:hAnsi="宋体" w:cs="宋体" w:hint="eastAsia"/>
                <w:b/>
                <w:sz w:val="21"/>
                <w:szCs w:val="21"/>
                <w:lang w:val="zh-CN"/>
              </w:rPr>
              <w:t>关键工序：</w:t>
            </w:r>
            <w:r w:rsidRPr="00A87EE0">
              <w:rPr>
                <w:rFonts w:ascii="楷体" w:eastAsia="楷体" w:hAnsi="楷体" w:hint="eastAsia"/>
                <w:sz w:val="21"/>
                <w:szCs w:val="21"/>
              </w:rPr>
              <w:t>故障原因分析、确定维修项目、维修、质检</w:t>
            </w:r>
          </w:p>
          <w:p w:rsidR="00A87EE0" w:rsidRPr="00A87EE0" w:rsidRDefault="00A87EE0" w:rsidP="00A87EE0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 w:val="21"/>
                <w:szCs w:val="21"/>
                <w:lang w:val="zh-CN"/>
              </w:rPr>
            </w:pPr>
            <w:r w:rsidRPr="00A87EE0">
              <w:rPr>
                <w:rFonts w:hAnsi="宋体" w:cs="宋体" w:hint="eastAsia"/>
                <w:b/>
                <w:sz w:val="21"/>
                <w:szCs w:val="21"/>
                <w:lang w:val="zh-CN"/>
              </w:rPr>
              <w:t>特殊工序</w:t>
            </w:r>
            <w:r w:rsidRPr="00A87EE0">
              <w:rPr>
                <w:rFonts w:ascii="楷体" w:eastAsia="楷体" w:hAnsi="楷体" w:cs="宋体"/>
                <w:sz w:val="21"/>
                <w:szCs w:val="21"/>
              </w:rPr>
              <w:pict>
                <v:group id="画布 12" o:spid="_x0000_s3074" editas="canvas" style="position:absolute;left:0;text-align:left;margin-left:-19.1pt;margin-top:.45pt;width:495pt;height:163.8pt;z-index:-251656192;mso-position-horizontal-relative:text;mso-position-vertical-relative:text" coordorigin="878,11430" coordsize="9900,3276">
                  <o:lock v:ext="edit" aspectratio="t" text="t"/>
                  <o:diagram v:ext="edit" dgmstyle="0" dgmscalex="0" dgmscaley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3075" type="#_x0000_t75" style="position:absolute;left:878;top:11430;width:9900;height:3276">
                    <v:fill o:detectmouseclick="t"/>
                    <v:path o:extrusionok="t"/>
                    <o:lock v:ext="edit" text="t"/>
                    <o:diagram v:ext="edit" dgmstyle="0" dgmscalex="0" dgmscaley="0"/>
                  </v:shape>
                </v:group>
              </w:pict>
            </w:r>
            <w:r w:rsidRPr="00A87EE0">
              <w:rPr>
                <w:rFonts w:hAnsi="宋体" w:cs="宋体" w:hint="eastAsia"/>
                <w:b/>
                <w:sz w:val="21"/>
                <w:szCs w:val="21"/>
                <w:lang w:val="zh-CN"/>
              </w:rPr>
              <w:t>：维修</w:t>
            </w:r>
          </w:p>
          <w:p w:rsidR="00A87EE0" w:rsidRPr="00A87EE0" w:rsidRDefault="00A87EE0" w:rsidP="00A87EE0">
            <w:pPr>
              <w:tabs>
                <w:tab w:val="left" w:pos="6390"/>
              </w:tabs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  <w:r w:rsidRPr="00A87EE0">
              <w:rPr>
                <w:rFonts w:ascii="楷体" w:eastAsia="楷体" w:hAnsi="楷体" w:hint="eastAsia"/>
                <w:sz w:val="21"/>
                <w:szCs w:val="21"/>
              </w:rPr>
              <w:t>客户接触--合同评审--签订合同--客户付款--入帐--采购--客户提货--验收</w:t>
            </w:r>
          </w:p>
          <w:p w:rsidR="00A87EE0" w:rsidRPr="00A87EE0" w:rsidRDefault="00A87EE0" w:rsidP="00A87EE0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 w:val="21"/>
                <w:szCs w:val="21"/>
                <w:lang w:val="zh-CN"/>
              </w:rPr>
            </w:pPr>
            <w:r w:rsidRPr="00A87EE0">
              <w:rPr>
                <w:rFonts w:hAnsi="宋体" w:cs="宋体" w:hint="eastAsia"/>
                <w:b/>
                <w:sz w:val="21"/>
                <w:szCs w:val="21"/>
                <w:lang w:val="zh-CN"/>
              </w:rPr>
              <w:t>关键工序：采购、销售</w:t>
            </w:r>
          </w:p>
          <w:p w:rsidR="00AE4B04" w:rsidRPr="00A87EE0" w:rsidRDefault="00A87EE0" w:rsidP="00A87EE0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 w:val="21"/>
                <w:szCs w:val="21"/>
                <w:lang w:val="zh-CN"/>
              </w:rPr>
            </w:pPr>
            <w:r w:rsidRPr="00A87EE0">
              <w:rPr>
                <w:rFonts w:hAnsi="宋体" w:cs="宋体" w:hint="eastAsia"/>
                <w:b/>
                <w:sz w:val="21"/>
                <w:szCs w:val="21"/>
                <w:lang w:val="zh-CN"/>
              </w:rPr>
              <w:t>特殊工序：销售</w:t>
            </w:r>
          </w:p>
        </w:tc>
      </w:tr>
      <w:tr w:rsidR="00E361E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CB0E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CB0E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CB0EA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A87E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47A68"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</w:t>
            </w:r>
          </w:p>
        </w:tc>
      </w:tr>
      <w:tr w:rsidR="00E361E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361ED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361E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GL2010 工业服务 风力发电机组认证指南，第一部分-风能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ISO 12944-2007  色漆和清漆-防护漆体系对钢结构的腐蚀保护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10426.1-2004</w:t>
            </w:r>
            <w:r w:rsidRPr="00FA3CA2">
              <w:rPr>
                <w:rFonts w:ascii="楷体" w:eastAsia="楷体" w:hAnsi="楷体" w:hint="eastAsia"/>
                <w:szCs w:val="21"/>
              </w:rPr>
              <w:tab/>
              <w:t>风力发电机组制动系统第一部分：技术条件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10426.2-2004</w:t>
            </w:r>
            <w:r w:rsidRPr="00FA3CA2">
              <w:rPr>
                <w:rFonts w:ascii="楷体" w:eastAsia="楷体" w:hAnsi="楷体" w:hint="eastAsia"/>
                <w:szCs w:val="21"/>
              </w:rPr>
              <w:tab/>
              <w:t>风力发电机组制动系统第二部分：试验方法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3063-2011 烧结金属摩擦材料 技术条件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7269-2007 干式烧结金属摩擦材料 摩擦性能试验方法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10917-2008 钳盘式制动器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GB/T 15622-2005  液压缸试验方法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10205-2010  液压缸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GB/T 10125-1997 人造气氛腐蚀试验 盐雾试验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JB/T 7858-2006 液压元件清洁度评定方法及液压元件清洁度指标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NBT 31023-2012 风力发电机组高速轴液压盘式制动器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NBT 31024-2012风力发电机组偏航液压盘式制动器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EN 10204 金属制品型式检验文件-验收试验证书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2006/42/EC 欧盟议会和欧盟理事会机械规章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GB/T 13384</w:t>
            </w:r>
            <w:r w:rsidRPr="00FA3CA2">
              <w:rPr>
                <w:rFonts w:ascii="楷体" w:eastAsia="楷体" w:hAnsi="楷体" w:hint="eastAsia"/>
                <w:szCs w:val="21"/>
              </w:rPr>
              <w:tab/>
              <w:t>机电产品包装通用技术条件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GB/Z18620.4-2002圆柱齿轮检验实施规范第4部分：表面结构及齿轮斑点检验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GB/Z18620.4-2002圆柱齿轮检验实施规范第4部分：径向跳动及间隙检验</w:t>
            </w:r>
          </w:p>
          <w:p w:rsidR="00A87EE0" w:rsidRPr="00FA3CA2" w:rsidRDefault="00A87EE0" w:rsidP="00A87EE0">
            <w:pPr>
              <w:rPr>
                <w:rFonts w:ascii="楷体" w:eastAsia="楷体" w:hAnsi="楷体"/>
                <w:szCs w:val="21"/>
              </w:rPr>
            </w:pPr>
            <w:r w:rsidRPr="00FA3CA2">
              <w:rPr>
                <w:rFonts w:ascii="楷体" w:eastAsia="楷体" w:hAnsi="楷体" w:hint="eastAsia"/>
                <w:szCs w:val="21"/>
              </w:rPr>
              <w:t>GB19073-2003 风力发电齿轮箱</w:t>
            </w:r>
          </w:p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361ED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87E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无型式检验需求</w:t>
            </w:r>
          </w:p>
        </w:tc>
      </w:tr>
      <w:tr w:rsidR="00E361ED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CB0E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CB0EAF">
      <w:pPr>
        <w:snapToGrid w:val="0"/>
        <w:rPr>
          <w:rFonts w:ascii="宋体"/>
          <w:b/>
          <w:sz w:val="22"/>
          <w:szCs w:val="22"/>
        </w:rPr>
      </w:pPr>
    </w:p>
    <w:p w:rsidR="00AE4B04" w:rsidRDefault="00CB0EA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87EE0" w:rsidRPr="00A87EE0">
        <w:rPr>
          <w:rFonts w:ascii="宋体" w:hint="eastAsia"/>
          <w:b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87EE0">
        <w:rPr>
          <w:rFonts w:hint="eastAsia"/>
          <w:b/>
          <w:sz w:val="18"/>
          <w:szCs w:val="18"/>
        </w:rPr>
        <w:t>2020.8.3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87EE0" w:rsidRPr="00A87EE0">
        <w:rPr>
          <w:rFonts w:ascii="宋体" w:hint="eastAsia"/>
          <w:b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87EE0">
        <w:rPr>
          <w:rFonts w:hint="eastAsia"/>
          <w:b/>
          <w:sz w:val="18"/>
          <w:szCs w:val="18"/>
        </w:rPr>
        <w:t>2020.8.3</w:t>
      </w:r>
    </w:p>
    <w:p w:rsidR="00AE4B04" w:rsidRDefault="00CB0EA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B0EA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EAF" w:rsidRDefault="00CB0EAF" w:rsidP="00E361ED">
      <w:r>
        <w:separator/>
      </w:r>
    </w:p>
  </w:endnote>
  <w:endnote w:type="continuationSeparator" w:id="1">
    <w:p w:rsidR="00CB0EAF" w:rsidRDefault="00CB0EAF" w:rsidP="00E3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EAF" w:rsidRDefault="00CB0EAF" w:rsidP="00E361ED">
      <w:r>
        <w:separator/>
      </w:r>
    </w:p>
  </w:footnote>
  <w:footnote w:type="continuationSeparator" w:id="1">
    <w:p w:rsidR="00CB0EAF" w:rsidRDefault="00CB0EAF" w:rsidP="00E36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E361ED" w:rsidP="00A87E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361E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B0EAF" w:rsidRPr="00390345">
      <w:rPr>
        <w:rStyle w:val="CharChar1"/>
        <w:rFonts w:hint="default"/>
      </w:rPr>
      <w:t>北京国标联合认证有限公司</w:t>
    </w:r>
    <w:r w:rsidR="00CB0EAF" w:rsidRPr="00390345">
      <w:rPr>
        <w:rStyle w:val="CharChar1"/>
        <w:rFonts w:hint="default"/>
      </w:rPr>
      <w:tab/>
    </w:r>
    <w:r w:rsidR="00CB0EAF" w:rsidRPr="00390345">
      <w:rPr>
        <w:rStyle w:val="CharChar1"/>
        <w:rFonts w:hint="default"/>
      </w:rPr>
      <w:tab/>
    </w:r>
    <w:r w:rsidR="00CB0EAF">
      <w:rPr>
        <w:rStyle w:val="CharChar1"/>
        <w:rFonts w:hint="default"/>
      </w:rPr>
      <w:tab/>
    </w:r>
  </w:p>
  <w:p w:rsidR="0092500F" w:rsidRDefault="00E361ED" w:rsidP="00A87EE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B0EAF" w:rsidP="00A87EE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0EAF" w:rsidRPr="00390345">
      <w:rPr>
        <w:rStyle w:val="CharChar1"/>
        <w:rFonts w:hint="default"/>
        <w:w w:val="90"/>
      </w:rPr>
      <w:t xml:space="preserve">Beijing International Standard united Certification </w:t>
    </w:r>
    <w:r w:rsidR="00CB0EAF" w:rsidRPr="00390345">
      <w:rPr>
        <w:rStyle w:val="CharChar1"/>
        <w:rFonts w:hint="default"/>
        <w:w w:val="90"/>
      </w:rPr>
      <w:t>Co.,Ltd.</w:t>
    </w:r>
  </w:p>
  <w:p w:rsidR="0092500F" w:rsidRPr="0092500F" w:rsidRDefault="00CB0EAF">
    <w:pPr>
      <w:pStyle w:val="a4"/>
    </w:pPr>
  </w:p>
  <w:p w:rsidR="00AE4B04" w:rsidRDefault="00CB0EAF" w:rsidP="00A87E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1ED"/>
    <w:rsid w:val="00A87EE0"/>
    <w:rsid w:val="00CB0EAF"/>
    <w:rsid w:val="00E3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2020-08-07T07:30:00Z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