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0384-2020-Q</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ascii="楷体" w:hAnsi="楷体" w:eastAsia="楷体"/>
          <w:b/>
          <w:color w:val="000000"/>
          <w:sz w:val="32"/>
          <w:szCs w:val="32"/>
          <w:u w:val="single"/>
        </w:rPr>
        <w:t>江苏诚丰环保设备有限公司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2020年</w:t>
            </w:r>
            <w:r>
              <w:rPr>
                <w:rFonts w:hint="eastAsia" w:ascii="宋体"/>
                <w:b/>
                <w:color w:val="000000"/>
                <w:szCs w:val="21"/>
                <w:lang w:val="en-US" w:eastAsia="zh-CN"/>
              </w:rPr>
              <w:t>7</w:t>
            </w:r>
            <w:r>
              <w:rPr>
                <w:rFonts w:hint="eastAsia" w:ascii="宋体"/>
                <w:b/>
                <w:color w:val="000000"/>
                <w:szCs w:val="21"/>
              </w:rPr>
              <w:t>月</w:t>
            </w:r>
            <w:r>
              <w:rPr>
                <w:rFonts w:hint="eastAsia" w:ascii="宋体"/>
                <w:b/>
                <w:color w:val="000000"/>
                <w:szCs w:val="21"/>
                <w:lang w:val="en-US" w:eastAsia="zh-CN"/>
              </w:rPr>
              <w:t>29</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企业</w:t>
            </w:r>
            <w:r>
              <w:rPr>
                <w:rFonts w:hint="eastAsia" w:ascii="宋体"/>
                <w:b/>
                <w:color w:val="000000"/>
                <w:szCs w:val="21"/>
                <w:lang w:eastAsia="zh-CN"/>
              </w:rPr>
              <w:t>远程</w:t>
            </w:r>
            <w:r>
              <w:rPr>
                <w:rFonts w:hint="eastAsia" w:ascii="宋体"/>
                <w:b/>
                <w:color w:val="000000"/>
                <w:szCs w:val="21"/>
              </w:rPr>
              <w:t xml:space="preserve">     </w:t>
            </w:r>
            <w:r>
              <w:rPr>
                <w:rFonts w:hint="eastAsia" w:ascii="宋体"/>
                <w:b/>
                <w:color w:val="000000"/>
                <w:szCs w:val="21"/>
              </w:rPr>
              <w:sym w:font="Wingdings" w:char="00A8"/>
            </w:r>
            <w:r>
              <w:rPr>
                <w:rFonts w:hint="eastAsia" w:ascii="宋体"/>
                <w:b/>
                <w:color w:val="000000"/>
                <w:szCs w:val="21"/>
              </w:rPr>
              <w:t>非企业</w:t>
            </w:r>
            <w:r>
              <w:rPr>
                <w:rFonts w:hint="eastAsia" w:ascii="宋体"/>
                <w:b/>
                <w:color w:val="000000"/>
                <w:szCs w:val="21"/>
                <w:lang w:eastAsia="zh-CN"/>
              </w:rPr>
              <w:t>远程</w:t>
            </w:r>
            <w:r>
              <w:rPr>
                <w:rFonts w:hint="eastAsia" w:ascii="宋体"/>
                <w:b/>
                <w:color w:val="000000"/>
                <w:szCs w:val="21"/>
              </w:rPr>
              <w:t>（FSMS/HACCP除外）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r>
              <w:rPr>
                <w:sz w:val="21"/>
                <w:szCs w:val="21"/>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055" w:type="dxa"/>
            <w:vAlign w:val="center"/>
          </w:tcPr>
          <w:p>
            <w:pPr>
              <w:jc w:val="center"/>
              <w:rPr>
                <w:b/>
                <w:color w:val="000000"/>
                <w:szCs w:val="21"/>
              </w:rPr>
            </w:pPr>
            <w:r>
              <w:rPr>
                <w:sz w:val="21"/>
                <w:szCs w:val="21"/>
              </w:rPr>
              <w:t>审核员</w:t>
            </w:r>
            <w:r>
              <w:rPr>
                <w:rFonts w:hint="eastAsia" w:ascii="Times New Roman" w:hAnsi="Times New Roman" w:eastAsia="宋体" w:cs="Times New Roman"/>
                <w:kern w:val="2"/>
                <w:sz w:val="18"/>
                <w:szCs w:val="18"/>
                <w:lang w:val="en-US" w:eastAsia="zh-CN" w:bidi="ar-SA"/>
              </w:rPr>
              <w:t>2019-N1QMS-1258213</w:t>
            </w:r>
          </w:p>
        </w:tc>
        <w:tc>
          <w:tcPr>
            <w:tcW w:w="2994" w:type="dxa"/>
            <w:vAlign w:val="center"/>
          </w:tcPr>
          <w:p>
            <w:pPr>
              <w:jc w:val="center"/>
              <w:rPr>
                <w:b/>
                <w:color w:val="000000"/>
                <w:szCs w:val="21"/>
              </w:rPr>
            </w:pPr>
            <w:r>
              <w:rPr>
                <w:b/>
                <w:color w:val="000000"/>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jc w:val="center"/>
              <w:rPr>
                <w:b/>
                <w:color w:val="000000"/>
                <w:szCs w:val="21"/>
              </w:rPr>
            </w:pPr>
            <w:r>
              <w:rPr>
                <w:b/>
                <w:color w:val="000000"/>
                <w:sz w:val="20"/>
                <w:szCs w:val="20"/>
              </w:rPr>
              <w:t>刘梦晗</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B</w:t>
            </w:r>
          </w:p>
        </w:tc>
        <w:tc>
          <w:tcPr>
            <w:tcW w:w="711" w:type="dxa"/>
            <w:vAlign w:val="center"/>
          </w:tcPr>
          <w:p>
            <w:pPr>
              <w:jc w:val="center"/>
              <w:rPr>
                <w:b/>
                <w:color w:val="000000"/>
                <w:szCs w:val="21"/>
              </w:rPr>
            </w:pPr>
            <w:r>
              <w:rPr>
                <w:sz w:val="21"/>
                <w:szCs w:val="21"/>
              </w:rPr>
              <w:t>女</w:t>
            </w:r>
          </w:p>
        </w:tc>
        <w:tc>
          <w:tcPr>
            <w:tcW w:w="3055" w:type="dxa"/>
            <w:vAlign w:val="center"/>
          </w:tcPr>
          <w:p>
            <w:pPr>
              <w:jc w:val="center"/>
              <w:rPr>
                <w:b/>
                <w:color w:val="000000"/>
                <w:szCs w:val="21"/>
              </w:rPr>
            </w:pPr>
            <w:r>
              <w:rPr>
                <w:sz w:val="21"/>
                <w:szCs w:val="21"/>
              </w:rPr>
              <w:t>实习审核员</w:t>
            </w:r>
          </w:p>
        </w:tc>
        <w:tc>
          <w:tcPr>
            <w:tcW w:w="2994" w:type="dxa"/>
            <w:vAlign w:val="center"/>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3" w:name="组织名称Add2"/>
            <w:r>
              <w:rPr>
                <w:rFonts w:ascii="宋体"/>
                <w:b/>
                <w:color w:val="000000"/>
                <w:sz w:val="20"/>
                <w:szCs w:val="20"/>
              </w:rPr>
              <w:t>江苏诚丰环保设备有限公司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400" w:lineRule="exact"/>
              <w:ind w:right="-55" w:rightChars="0"/>
              <w:jc w:val="left"/>
              <w:rPr>
                <w:rFonts w:ascii="宋体"/>
                <w:b/>
                <w:color w:val="000000"/>
                <w:sz w:val="20"/>
                <w:szCs w:val="20"/>
              </w:rPr>
            </w:pPr>
            <w:r>
              <w:rPr>
                <w:rFonts w:ascii="宋体"/>
                <w:b/>
                <w:color w:val="000000"/>
                <w:sz w:val="20"/>
                <w:szCs w:val="20"/>
              </w:rPr>
              <w:t>宜兴市和桥镇创业园纯江路(工业地产园)</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400" w:lineRule="exact"/>
              <w:ind w:right="-55" w:rightChars="0"/>
              <w:jc w:val="left"/>
              <w:rPr>
                <w:rFonts w:ascii="宋体"/>
                <w:b/>
                <w:color w:val="000000"/>
                <w:sz w:val="20"/>
                <w:szCs w:val="20"/>
              </w:rPr>
            </w:pPr>
            <w:bookmarkStart w:id="4" w:name="经营地址"/>
            <w:bookmarkEnd w:id="4"/>
            <w:r>
              <w:rPr>
                <w:rFonts w:ascii="宋体"/>
                <w:b/>
                <w:color w:val="000000"/>
                <w:sz w:val="20"/>
                <w:szCs w:val="20"/>
              </w:rPr>
              <w:t>宜兴市和桥镇创业园纯江路(工业地产园)</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5" w:name="经营邮编"/>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jc w:val="left"/>
              <w:rPr>
                <w:rFonts w:ascii="宋体"/>
                <w:b/>
                <w:color w:val="000000"/>
                <w:sz w:val="20"/>
                <w:szCs w:val="20"/>
              </w:rPr>
            </w:pPr>
            <w:r>
              <w:rPr>
                <w:rFonts w:ascii="宋体"/>
                <w:b/>
                <w:color w:val="000000"/>
                <w:sz w:val="20"/>
                <w:szCs w:val="20"/>
              </w:rPr>
              <w:t>宜兴市和桥镇创业园纯江路(工业地产园)</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周红英</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13961567898</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6" w:name="联系人传真Add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芦健</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周红英</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7" w:name="联系人邮箱Add1"/>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hAnsi="宋体"/>
                <w:b/>
                <w:color w:val="000000"/>
                <w:sz w:val="20"/>
                <w:szCs w:val="20"/>
              </w:rPr>
            </w:pPr>
            <w:bookmarkStart w:id="8" w:name="审核范围"/>
            <w:r>
              <w:t>Q：</w:t>
            </w:r>
            <w:bookmarkEnd w:id="8"/>
            <w:r>
              <w:rPr>
                <w:rFonts w:ascii="宋体" w:hAnsi="宋体"/>
                <w:b/>
                <w:color w:val="000000"/>
                <w:sz w:val="20"/>
                <w:szCs w:val="20"/>
              </w:rPr>
              <w:t>环保设备生产、销售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9" w:name="专业代码"/>
            <w:r>
              <w:t>Q：</w:t>
            </w:r>
            <w:bookmarkEnd w:id="9"/>
            <w:r>
              <w:rPr>
                <w:rFonts w:ascii="宋体"/>
                <w:b/>
                <w:color w:val="000000"/>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 1</w:t>
            </w:r>
            <w:r>
              <w:rPr>
                <w:rFonts w:hint="eastAsia" w:ascii="宋体" w:hAnsi="宋体"/>
                <w:b/>
                <w:color w:val="000000"/>
                <w:szCs w:val="21"/>
                <w:u w:val="single"/>
                <w:lang w:val="en-US" w:eastAsia="zh-CN"/>
              </w:rPr>
              <w:t>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12-13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2020年6月20日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t>关键过程（</w:t>
            </w:r>
            <w:r>
              <w:rPr>
                <w:rFonts w:ascii="宋体" w:hAnsi="宋体"/>
                <w:color w:val="auto"/>
                <w:spacing w:val="-10"/>
                <w:szCs w:val="21"/>
              </w:rPr>
              <w:t>QMS</w:t>
            </w:r>
            <w:r>
              <w:rPr>
                <w:rFonts w:hint="eastAsia" w:ascii="宋体" w:hAnsi="宋体"/>
                <w:color w:val="auto"/>
                <w:spacing w:val="-10"/>
                <w:szCs w:val="21"/>
              </w:rPr>
              <w:t>）的识别</w:t>
            </w:r>
          </w:p>
        </w:tc>
        <w:tc>
          <w:tcPr>
            <w:tcW w:w="4191" w:type="dxa"/>
            <w:shd w:val="clear" w:color="auto" w:fill="DBEEF3" w:themeFill="accent5" w:themeFillTint="32"/>
          </w:tcPr>
          <w:p>
            <w:pPr>
              <w:rPr>
                <w:rFonts w:hint="default" w:ascii="宋体" w:eastAsia="宋体"/>
                <w:color w:val="auto"/>
                <w:szCs w:val="21"/>
                <w:lang w:val="en-US" w:eastAsia="zh-CN"/>
              </w:rPr>
            </w:pPr>
            <w:r>
              <w:rPr>
                <w:rFonts w:hint="eastAsia" w:ascii="宋体"/>
                <w:color w:val="auto"/>
                <w:szCs w:val="21"/>
                <w:lang w:val="en-US" w:eastAsia="zh-CN"/>
              </w:rPr>
              <w:t xml:space="preserve">焊接 </w:t>
            </w:r>
            <w:bookmarkStart w:id="10" w:name="_GoBack"/>
            <w:bookmarkEnd w:id="10"/>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zCs w:val="21"/>
              </w:rPr>
              <w:t>☑合理</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 xml:space="preserve">焊接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w:t>
            </w:r>
            <w:r>
              <w:rPr>
                <w:rFonts w:hint="eastAsia" w:ascii="宋体" w:hAnsi="宋体"/>
                <w:b/>
                <w:color w:val="000000"/>
                <w:szCs w:val="21"/>
                <w:lang w:eastAsia="zh-CN"/>
              </w:rPr>
              <w:t>远程</w:t>
            </w:r>
            <w:r>
              <w:rPr>
                <w:rFonts w:hint="eastAsia" w:ascii="宋体" w:hAnsi="宋体"/>
                <w:b/>
                <w:color w:val="000000"/>
                <w:szCs w:val="21"/>
              </w:rPr>
              <w:t xml:space="preserve">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w:t>
            </w:r>
            <w:r>
              <w:rPr>
                <w:rFonts w:hint="eastAsia" w:ascii="宋体" w:hAnsi="宋体"/>
                <w:b/>
                <w:color w:val="000000"/>
                <w:szCs w:val="21"/>
                <w:lang w:eastAsia="zh-CN"/>
              </w:rPr>
              <w:t>远程</w:t>
            </w:r>
            <w:r>
              <w:rPr>
                <w:rFonts w:hint="eastAsia" w:ascii="宋体" w:hAnsi="宋体"/>
                <w:b/>
                <w:color w:val="000000"/>
                <w:szCs w:val="21"/>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w:t>
            </w:r>
            <w:r>
              <w:rPr>
                <w:rFonts w:hint="eastAsia" w:ascii="宋体" w:hAnsi="宋体"/>
                <w:b/>
                <w:color w:val="000000"/>
                <w:szCs w:val="21"/>
                <w:lang w:eastAsia="zh-CN"/>
              </w:rPr>
              <w:t>远程</w:t>
            </w:r>
            <w:r>
              <w:rPr>
                <w:rFonts w:hint="eastAsia" w:ascii="宋体" w:hAnsi="宋体"/>
                <w:b/>
                <w:color w:val="000000"/>
                <w:szCs w:val="21"/>
              </w:rPr>
              <w:t xml:space="preserve">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20704"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710464"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Cs w:val="21"/>
        </w:rPr>
        <w:drawing>
          <wp:anchor distT="0" distB="0" distL="114300" distR="114300" simplePos="0" relativeHeight="251678720"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szCs w:val="21"/>
        </w:rPr>
        <w:drawing>
          <wp:anchor distT="0" distB="0" distL="114300" distR="114300" simplePos="0" relativeHeight="251722752" behindDoc="1" locked="0" layoutInCell="1" allowOverlap="1">
            <wp:simplePos x="0" y="0"/>
            <wp:positionH relativeFrom="column">
              <wp:posOffset>5060315</wp:posOffset>
            </wp:positionH>
            <wp:positionV relativeFrom="paragraph">
              <wp:posOffset>53340</wp:posOffset>
            </wp:positionV>
            <wp:extent cx="1069340" cy="400050"/>
            <wp:effectExtent l="0" t="0" r="10160" b="6350"/>
            <wp:wrapTight wrapText="bothSides">
              <wp:wrapPolygon>
                <wp:start x="0" y="0"/>
                <wp:lineTo x="0" y="21257"/>
                <wp:lineTo x="21292" y="21257"/>
                <wp:lineTo x="21292" y="0"/>
                <wp:lineTo x="0" y="0"/>
              </wp:wrapPolygon>
            </wp:wrapTight>
            <wp:docPr id="7" name="图片 3" descr="1561f519f816a3f6fab76d7b1a65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561f519f816a3f6fab76d7b1a65b1d"/>
                    <pic:cNvPicPr>
                      <a:picLocks noChangeAspect="1"/>
                    </pic:cNvPicPr>
                  </pic:nvPicPr>
                  <pic:blipFill>
                    <a:blip r:embed="rId8"/>
                    <a:stretch>
                      <a:fillRect/>
                    </a:stretch>
                  </pic:blipFill>
                  <pic:spPr>
                    <a:xfrm>
                      <a:off x="0" y="0"/>
                      <a:ext cx="1069340" cy="40005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2020年</w:t>
      </w:r>
      <w:r>
        <w:rPr>
          <w:rFonts w:hint="eastAsia" w:ascii="宋体" w:hAnsi="宋体"/>
          <w:b/>
          <w:color w:val="000000"/>
          <w:szCs w:val="21"/>
          <w:lang w:val="en-US" w:eastAsia="zh-CN"/>
        </w:rPr>
        <w:t>7</w:t>
      </w:r>
      <w:r>
        <w:rPr>
          <w:rFonts w:hint="eastAsia" w:ascii="宋体" w:hAnsi="宋体"/>
          <w:b/>
          <w:color w:val="000000"/>
          <w:szCs w:val="21"/>
        </w:rPr>
        <w:t>月</w:t>
      </w:r>
      <w:r>
        <w:rPr>
          <w:rFonts w:hint="eastAsia" w:ascii="宋体" w:hAnsi="宋体"/>
          <w:b/>
          <w:color w:val="000000"/>
          <w:szCs w:val="21"/>
          <w:lang w:val="en-US" w:eastAsia="zh-CN"/>
        </w:rPr>
        <w:t>29</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w:t>
      </w:r>
      <w:r>
        <w:rPr>
          <w:rFonts w:hint="eastAsia" w:ascii="宋体" w:hAnsi="宋体"/>
          <w:b/>
          <w:color w:val="000000"/>
          <w:spacing w:val="-12"/>
          <w:szCs w:val="21"/>
          <w:lang w:eastAsia="zh-CN"/>
        </w:rPr>
        <w:t>远程</w:t>
      </w:r>
      <w:r>
        <w:rPr>
          <w:rFonts w:hint="eastAsia" w:ascii="宋体" w:hAnsi="宋体"/>
          <w:b/>
          <w:color w:val="000000"/>
          <w:spacing w:val="-12"/>
          <w:szCs w:val="21"/>
        </w:rPr>
        <w:t>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w:t>
      </w:r>
      <w:r>
        <w:rPr>
          <w:rFonts w:hint="eastAsia" w:ascii="宋体" w:hAnsi="宋体"/>
          <w:b/>
          <w:color w:val="000000"/>
          <w:szCs w:val="21"/>
          <w:lang w:eastAsia="zh-CN"/>
        </w:rPr>
        <w:t>远程</w:t>
      </w:r>
      <w:r>
        <w:rPr>
          <w:rFonts w:hint="eastAsia" w:ascii="宋体" w:hAnsi="宋体"/>
          <w:b/>
          <w:color w:val="000000"/>
          <w:szCs w:val="21"/>
        </w:rPr>
        <w:t>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snapToGrid w:val="0"/>
        <w:spacing w:line="400" w:lineRule="exact"/>
        <w:rPr>
          <w:rFonts w:eastAsia="隶书"/>
          <w:color w:val="000000"/>
          <w:sz w:val="32"/>
          <w:szCs w:val="32"/>
        </w:rPr>
      </w:pPr>
      <w:r>
        <w:rPr>
          <w:rFonts w:hint="eastAsia" w:eastAsia="隶书"/>
          <w:color w:val="000000"/>
          <w:szCs w:val="21"/>
        </w:rPr>
        <w:t>附</w:t>
      </w:r>
    </w:p>
    <w:p>
      <w:pPr>
        <w:pStyle w:val="7"/>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7"/>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pStyle w:val="2"/>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796912"/>
    <w:rsid w:val="095D24A8"/>
    <w:rsid w:val="09B4415B"/>
    <w:rsid w:val="0B695358"/>
    <w:rsid w:val="0B6F736E"/>
    <w:rsid w:val="0C857290"/>
    <w:rsid w:val="0CA6239B"/>
    <w:rsid w:val="0DC83354"/>
    <w:rsid w:val="0F1B3FDD"/>
    <w:rsid w:val="11BE261C"/>
    <w:rsid w:val="11CB1D96"/>
    <w:rsid w:val="11E426D3"/>
    <w:rsid w:val="125311C6"/>
    <w:rsid w:val="12626407"/>
    <w:rsid w:val="14C86FDF"/>
    <w:rsid w:val="155E1C49"/>
    <w:rsid w:val="16B77B96"/>
    <w:rsid w:val="185B1437"/>
    <w:rsid w:val="18BD6A28"/>
    <w:rsid w:val="19074347"/>
    <w:rsid w:val="194A22A9"/>
    <w:rsid w:val="199B00AC"/>
    <w:rsid w:val="1A5B7456"/>
    <w:rsid w:val="1B85685E"/>
    <w:rsid w:val="1D2F67EA"/>
    <w:rsid w:val="1DED22A1"/>
    <w:rsid w:val="1E3F707F"/>
    <w:rsid w:val="1FD918CF"/>
    <w:rsid w:val="20FB6175"/>
    <w:rsid w:val="215572CF"/>
    <w:rsid w:val="21613D27"/>
    <w:rsid w:val="233B2532"/>
    <w:rsid w:val="25240B3E"/>
    <w:rsid w:val="26955C91"/>
    <w:rsid w:val="273B5F41"/>
    <w:rsid w:val="2AE32135"/>
    <w:rsid w:val="2C071728"/>
    <w:rsid w:val="2C157CD4"/>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9916B26"/>
    <w:rsid w:val="499C10CB"/>
    <w:rsid w:val="4A912373"/>
    <w:rsid w:val="4AB229F5"/>
    <w:rsid w:val="4CBF18E3"/>
    <w:rsid w:val="4E7F1263"/>
    <w:rsid w:val="522F4D5F"/>
    <w:rsid w:val="53877EEF"/>
    <w:rsid w:val="543E39B0"/>
    <w:rsid w:val="563B39DC"/>
    <w:rsid w:val="56BD08D3"/>
    <w:rsid w:val="5807522A"/>
    <w:rsid w:val="58352B0B"/>
    <w:rsid w:val="5A986980"/>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EF27DE"/>
    <w:rsid w:val="72F1531C"/>
    <w:rsid w:val="74B4765F"/>
    <w:rsid w:val="75B52D7D"/>
    <w:rsid w:val="76197FCB"/>
    <w:rsid w:val="77AD1768"/>
    <w:rsid w:val="794538C2"/>
    <w:rsid w:val="7A7C3696"/>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1</TotalTime>
  <ScaleCrop>false</ScaleCrop>
  <LinksUpToDate>false</LinksUpToDate>
  <CharactersWithSpaces>6573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2020-08-06T07:37:58Z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