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北京诺世达科技有限公司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北京市朝阳区高碑店东A区33-9（167号）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刘曙寒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13911203846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100025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bookmarkStart w:id="6" w:name="法人"/>
            <w:r>
              <w:t>刘伟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north_starbj@126.com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0395-2020-EO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E：五金交电、电力设备（电力设备辅材）的销售；计算机软件的技术服务（运维）及相关环境管理活动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O：五金交电、电力设备（电力设备辅材）的销售；计算机软件的技术服务（运维）及相关职业健康安全管理活动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E：29.12.00;33.02.04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O：29.12.00;33.02.04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2020年08月24日 上午至2020年08月25日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2020.8.23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2020.8.23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2020.8.24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（含员工代表）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S:4.1/4.2/4.3/4/4/5.1/5.2/5.3/6.1.1/6.1.2/6.1..3/6.1.4/6.2/7.1/7.4/9.1.1/9.3/10.1/10.3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S:5.4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E:4.1/4.2/4.3/4/4/5.1/5.2/5.3/6.1.1/6.1.2/6.1..3/6.1.4/6.2/7.1/7.4/9.1.1/9.3/10.1/10.3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资质验证/范围再确认/一阶段问题验证/投诉或事故/政府主管部门监督抽查情况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/>
                <w:color w:val="auto"/>
                <w:lang w:val="en-US" w:eastAsia="zh-CN"/>
              </w:rPr>
              <w:t>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(含财务）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：目标、方案；环境因素/危险源识别评价；合规义务；法律法规要求；绩效的监视和测量；合规性评价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;内部审核等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ES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5.3/6.1.2/6.1.3/6.2/7.2/7.3/7.4/7.5/8.1/8.6/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9.2/10.1/10.2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综合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：目标、方案；环境因素/危险源识别评价；合规义务；法律法规要求；绩效的监视和测量；合规性评价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;内部审核等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5.3/6.1.2/6.1.3/6.2/7.2/7.3/7.4/7.5/8.1/8.6/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9.2/10.1/10.2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2020.8.25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  <w:t>销售部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销售部：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目标指标完成情况、销售情况的环境及职业健康安全的因素识别、销售的运行情况、应急情况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销售部：</w:t>
            </w: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 xml:space="preserve">目标指标完成情况、销售情况的环境及职业健康安全的因素识别、销售的运行情况、应急情况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S：5.3/6.2/6.1.2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E：5.3/6.2/6.1.2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与管理层沟通，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BB4C45"/>
    <w:rsid w:val="74F26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2020-08-24T03:02:53Z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