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bCs/>
          <w:color w:val="000000"/>
          <w:sz w:val="36"/>
          <w:szCs w:val="36"/>
        </w:rPr>
        <w:t>管理体系审核记录表</w:t>
      </w:r>
    </w:p>
    <w:tbl>
      <w:tblPr>
        <w:tblStyle w:val="6"/>
        <w:tblW w:w="498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3"/>
        <w:gridCol w:w="1057"/>
        <w:gridCol w:w="11759"/>
        <w:gridCol w:w="5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510" w:type="pct"/>
            <w:vMerge w:val="restart"/>
            <w:vAlign w:val="center"/>
          </w:tcPr>
          <w:p>
            <w:pPr>
              <w:spacing w:before="12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过程与活动、抽样计划</w:t>
            </w:r>
          </w:p>
        </w:tc>
        <w:tc>
          <w:tcPr>
            <w:tcW w:w="356" w:type="pct"/>
            <w:vMerge w:val="restart"/>
            <w:vAlign w:val="center"/>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涉及</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条款</w:t>
            </w:r>
          </w:p>
        </w:tc>
        <w:tc>
          <w:tcPr>
            <w:tcW w:w="3959" w:type="pct"/>
            <w:vAlign w:val="center"/>
          </w:tcPr>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xml:space="preserve">受审核部门：销售部   主管领导：丁同安     </w:t>
            </w:r>
          </w:p>
        </w:tc>
        <w:tc>
          <w:tcPr>
            <w:tcW w:w="173" w:type="pct"/>
            <w:vMerge w:val="restart"/>
            <w:vAlign w:val="center"/>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510" w:type="pct"/>
            <w:vMerge w:val="continue"/>
            <w:vAlign w:val="center"/>
          </w:tcPr>
          <w:p>
            <w:pPr>
              <w:rPr>
                <w:rFonts w:hint="eastAsia" w:asciiTheme="minorEastAsia" w:hAnsiTheme="minorEastAsia" w:eastAsiaTheme="minorEastAsia" w:cstheme="minorEastAsia"/>
                <w:sz w:val="21"/>
                <w:szCs w:val="21"/>
              </w:rPr>
            </w:pPr>
          </w:p>
        </w:tc>
        <w:tc>
          <w:tcPr>
            <w:tcW w:w="356" w:type="pct"/>
            <w:vMerge w:val="continue"/>
            <w:vAlign w:val="center"/>
          </w:tcPr>
          <w:p>
            <w:pPr>
              <w:rPr>
                <w:rFonts w:hint="eastAsia" w:asciiTheme="minorEastAsia" w:hAnsiTheme="minorEastAsia" w:eastAsiaTheme="minorEastAsia" w:cstheme="minorEastAsia"/>
                <w:sz w:val="21"/>
                <w:szCs w:val="21"/>
              </w:rPr>
            </w:pPr>
          </w:p>
        </w:tc>
        <w:tc>
          <w:tcPr>
            <w:tcW w:w="3959" w:type="pct"/>
            <w:vAlign w:val="center"/>
          </w:tcPr>
          <w:p>
            <w:pPr>
              <w:spacing w:before="12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审核员：王志慧 夏楠楠</w:t>
            </w:r>
            <w:r>
              <w:rPr>
                <w:rFonts w:hint="eastAsia" w:asciiTheme="minorEastAsia" w:hAnsiTheme="minorEastAsia" w:eastAsiaTheme="minorEastAsia" w:cstheme="minorEastAsia"/>
                <w:color w:val="auto"/>
                <w:sz w:val="21"/>
                <w:szCs w:val="21"/>
                <w:highlight w:val="none"/>
                <w:lang w:eastAsia="zh-CN"/>
              </w:rPr>
              <w:t>（实习）</w:t>
            </w:r>
            <w:r>
              <w:rPr>
                <w:rFonts w:hint="eastAsia" w:asciiTheme="minorEastAsia" w:hAnsiTheme="minorEastAsia" w:eastAsiaTheme="minorEastAsia" w:cstheme="minorEastAsia"/>
                <w:color w:val="auto"/>
                <w:sz w:val="21"/>
                <w:szCs w:val="21"/>
                <w:highlight w:val="none"/>
              </w:rPr>
              <w:t xml:space="preserve">        审核时间：2020年8月5-6日</w:t>
            </w:r>
          </w:p>
        </w:tc>
        <w:tc>
          <w:tcPr>
            <w:tcW w:w="173" w:type="pct"/>
            <w:vMerge w:val="continue"/>
          </w:tcPr>
          <w:p>
            <w:pP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510" w:type="pct"/>
            <w:vMerge w:val="continue"/>
            <w:vAlign w:val="center"/>
          </w:tcPr>
          <w:p>
            <w:pPr>
              <w:rPr>
                <w:rFonts w:hint="eastAsia" w:asciiTheme="minorEastAsia" w:hAnsiTheme="minorEastAsia" w:eastAsiaTheme="minorEastAsia" w:cstheme="minorEastAsia"/>
                <w:sz w:val="21"/>
                <w:szCs w:val="21"/>
              </w:rPr>
            </w:pPr>
          </w:p>
        </w:tc>
        <w:tc>
          <w:tcPr>
            <w:tcW w:w="356" w:type="pct"/>
            <w:vMerge w:val="continue"/>
            <w:vAlign w:val="center"/>
          </w:tcPr>
          <w:p>
            <w:pPr>
              <w:rPr>
                <w:rFonts w:hint="eastAsia" w:asciiTheme="minorEastAsia" w:hAnsiTheme="minorEastAsia" w:eastAsiaTheme="minorEastAsia" w:cstheme="minorEastAsia"/>
                <w:sz w:val="21"/>
                <w:szCs w:val="21"/>
              </w:rPr>
            </w:pPr>
          </w:p>
        </w:tc>
        <w:tc>
          <w:tcPr>
            <w:tcW w:w="3959" w:type="pct"/>
            <w:vAlign w:val="center"/>
          </w:tcPr>
          <w:p>
            <w:pPr>
              <w:spacing w:line="240" w:lineRule="exac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审核条款：</w:t>
            </w:r>
          </w:p>
          <w:p>
            <w:pPr>
              <w:snapToGrid w:val="0"/>
              <w:spacing w:line="260" w:lineRule="exact"/>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Q：5.3/6.1/6.2/7.4/8.1/8.2/8.4/8.5/8.6/8.7/9.1.2/9.1.3/10.2</w:t>
            </w:r>
          </w:p>
          <w:p>
            <w:pPr>
              <w:snapToGrid w:val="0"/>
              <w:spacing w:line="260" w:lineRule="exact"/>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E: 5.3</w:t>
            </w:r>
            <w:r>
              <w:rPr>
                <w:rFonts w:hint="eastAsia" w:asciiTheme="minorEastAsia" w:hAnsiTheme="minorEastAsia" w:eastAsia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/6.1/6.2/7.5/8.1/8.2/9.1/10.2</w:t>
            </w:r>
          </w:p>
          <w:p>
            <w:pPr>
              <w:pStyle w:val="2"/>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O：5.3/5.4/6.1/6.2/7.5/8.1/8.2/9.1/10.2</w:t>
            </w:r>
          </w:p>
        </w:tc>
        <w:tc>
          <w:tcPr>
            <w:tcW w:w="173" w:type="pct"/>
            <w:vMerge w:val="continue"/>
          </w:tcPr>
          <w:p>
            <w:pP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510" w:type="pct"/>
            <w:vAlign w:val="center"/>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组织的岗位、职责权限</w:t>
            </w:r>
          </w:p>
        </w:tc>
        <w:tc>
          <w:tcPr>
            <w:tcW w:w="356" w:type="pct"/>
            <w:vAlign w:val="center"/>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QEO</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5.3</w:t>
            </w:r>
          </w:p>
        </w:tc>
        <w:tc>
          <w:tcPr>
            <w:tcW w:w="3959" w:type="pct"/>
            <w:vAlign w:val="center"/>
          </w:tcPr>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销售部 负责人：丁同安</w:t>
            </w:r>
          </w:p>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主要负责：采购、销售过程的控制；合同评审及签订；顾客沟通；顾客满意度调查；本部门环境安全因素识别；服务过程环境、安全控制等。</w:t>
            </w:r>
          </w:p>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负责人对本部门的职责和权限以及工作流程清楚、明确完成本部门的目标指标。能较好回答部门职责，对工作要求明确。</w:t>
            </w:r>
          </w:p>
        </w:tc>
        <w:tc>
          <w:tcPr>
            <w:tcW w:w="173" w:type="pct"/>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510" w:type="pct"/>
            <w:vAlign w:val="center"/>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应对风险和机会的策划</w:t>
            </w:r>
          </w:p>
        </w:tc>
        <w:tc>
          <w:tcPr>
            <w:tcW w:w="356" w:type="pct"/>
            <w:vAlign w:val="center"/>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Q6.1</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EO</w:t>
            </w:r>
          </w:p>
          <w:p>
            <w:pP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sz w:val="21"/>
                <w:szCs w:val="21"/>
              </w:rPr>
              <w:t>6.1.1</w:t>
            </w:r>
          </w:p>
        </w:tc>
        <w:tc>
          <w:tcPr>
            <w:tcW w:w="3959" w:type="pct"/>
            <w:vAlign w:val="center"/>
          </w:tcPr>
          <w:p>
            <w:pPr>
              <w:pStyle w:val="13"/>
              <w:ind w:firstLine="0" w:firstLineChars="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该企业</w:t>
            </w:r>
            <w:r>
              <w:rPr>
                <w:rFonts w:hint="eastAsia" w:asciiTheme="minorEastAsia" w:hAnsiTheme="minorEastAsia" w:eastAsiaTheme="minorEastAsia" w:cstheme="minorEastAsia"/>
                <w:color w:val="auto"/>
                <w:sz w:val="21"/>
                <w:szCs w:val="21"/>
                <w:highlight w:val="none"/>
              </w:rPr>
              <w:t>确定了组织需应对的风险和机遇。如：资金风险：产品及人工成本不断提高；机遇：市场竞争加剧，加强公司内部人员的基础素质，提高专业技能，带来潜在的发展</w:t>
            </w:r>
            <w:bookmarkStart w:id="1" w:name="_GoBack"/>
            <w:bookmarkEnd w:id="1"/>
            <w:r>
              <w:rPr>
                <w:rFonts w:hint="eastAsia" w:asciiTheme="minorEastAsia" w:hAnsiTheme="minorEastAsia" w:eastAsiaTheme="minorEastAsia" w:cstheme="minorEastAsia"/>
                <w:color w:val="auto"/>
                <w:sz w:val="21"/>
                <w:szCs w:val="21"/>
                <w:highlight w:val="none"/>
              </w:rPr>
              <w:t>机遇；等级：高；应对措施：针对政策风险，公司时刻关注政策的走向，在符合政策的同时对公司进行开展运作。管理及市场风险的应对，加强公司团队的建设，争取公司的竞争力度，积极开拓市场业务，必要时增加公司的资质，例如进行管理体系的认证。执行部门：销售部 。</w:t>
            </w:r>
          </w:p>
          <w:p>
            <w:pPr>
              <w:pStyle w:val="13"/>
              <w:ind w:firstLine="0" w:firstLineChars="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xml:space="preserve">组织在确定这些风险和机遇时，考虑了员工岗位技能、综合能力、市场需求等内外部因素及合同方（顾客）的相关要求。评审人：丁同安  </w:t>
            </w:r>
          </w:p>
          <w:p>
            <w:pP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color w:val="auto"/>
                <w:sz w:val="21"/>
                <w:szCs w:val="21"/>
                <w:highlight w:val="none"/>
              </w:rPr>
              <w:t>评审情况均为符合发展要求。措施正在实施中。</w:t>
            </w:r>
          </w:p>
        </w:tc>
        <w:tc>
          <w:tcPr>
            <w:tcW w:w="173" w:type="pct"/>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510" w:type="pct"/>
            <w:vAlign w:val="center"/>
          </w:tcPr>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目标和方案</w:t>
            </w:r>
          </w:p>
        </w:tc>
        <w:tc>
          <w:tcPr>
            <w:tcW w:w="356" w:type="pct"/>
            <w:vAlign w:val="center"/>
          </w:tcPr>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QEO</w:t>
            </w:r>
          </w:p>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6.2</w:t>
            </w:r>
          </w:p>
        </w:tc>
        <w:tc>
          <w:tcPr>
            <w:tcW w:w="3959" w:type="pct"/>
            <w:vAlign w:val="center"/>
          </w:tcPr>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部门目标：</w:t>
            </w:r>
          </w:p>
          <w:p>
            <w:pPr>
              <w:pStyle w:val="2"/>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xml:space="preserve">1、合同评审率100%； </w:t>
            </w:r>
          </w:p>
          <w:p>
            <w:pPr>
              <w:pStyle w:val="2"/>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2、交付不得出现质量投诉；</w:t>
            </w:r>
          </w:p>
          <w:p>
            <w:pPr>
              <w:pStyle w:val="2"/>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3、供货及时率100%；</w:t>
            </w:r>
          </w:p>
          <w:p>
            <w:pPr>
              <w:pStyle w:val="2"/>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4、环境污染事故为零；</w:t>
            </w:r>
          </w:p>
          <w:p>
            <w:pPr>
              <w:pStyle w:val="2"/>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5、火灾事故发生率为零。</w:t>
            </w:r>
          </w:p>
          <w:tbl>
            <w:tblPr>
              <w:tblStyle w:val="6"/>
              <w:tblW w:w="0" w:type="auto"/>
              <w:tblInd w:w="103" w:type="dxa"/>
              <w:tblLayout w:type="fixed"/>
              <w:tblCellMar>
                <w:top w:w="0" w:type="dxa"/>
                <w:left w:w="108" w:type="dxa"/>
                <w:bottom w:w="0" w:type="dxa"/>
                <w:right w:w="108" w:type="dxa"/>
              </w:tblCellMar>
            </w:tblPr>
            <w:tblGrid>
              <w:gridCol w:w="507"/>
              <w:gridCol w:w="1072"/>
              <w:gridCol w:w="970"/>
              <w:gridCol w:w="8670"/>
            </w:tblGrid>
            <w:tr>
              <w:tblPrEx>
                <w:tblCellMar>
                  <w:top w:w="0" w:type="dxa"/>
                  <w:left w:w="108" w:type="dxa"/>
                  <w:bottom w:w="0" w:type="dxa"/>
                  <w:right w:w="108" w:type="dxa"/>
                </w:tblCellMar>
              </w:tblPrEx>
              <w:trPr>
                <w:cantSplit/>
                <w:trHeight w:val="580" w:hRule="atLeast"/>
              </w:trPr>
              <w:tc>
                <w:tcPr>
                  <w:tcW w:w="507" w:type="dxa"/>
                  <w:tcBorders>
                    <w:tl2br w:val="nil"/>
                    <w:tr2bl w:val="nil"/>
                  </w:tcBorders>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序号</w:t>
                  </w:r>
                </w:p>
              </w:tc>
              <w:tc>
                <w:tcPr>
                  <w:tcW w:w="1072" w:type="dxa"/>
                  <w:tcBorders>
                    <w:tl2br w:val="nil"/>
                    <w:tr2bl w:val="nil"/>
                  </w:tcBorders>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不可接受风险</w:t>
                  </w:r>
                </w:p>
              </w:tc>
              <w:tc>
                <w:tcPr>
                  <w:tcW w:w="970" w:type="dxa"/>
                  <w:tcBorders>
                    <w:tl2br w:val="nil"/>
                    <w:tr2bl w:val="nil"/>
                  </w:tcBorders>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目标</w:t>
                  </w:r>
                </w:p>
              </w:tc>
              <w:tc>
                <w:tcPr>
                  <w:tcW w:w="8670" w:type="dxa"/>
                  <w:tcBorders>
                    <w:tl2br w:val="nil"/>
                    <w:tr2bl w:val="nil"/>
                  </w:tcBorders>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控制措施</w:t>
                  </w:r>
                </w:p>
              </w:tc>
            </w:tr>
            <w:tr>
              <w:tblPrEx>
                <w:tblCellMar>
                  <w:top w:w="0" w:type="dxa"/>
                  <w:left w:w="108" w:type="dxa"/>
                  <w:bottom w:w="0" w:type="dxa"/>
                  <w:right w:w="108" w:type="dxa"/>
                </w:tblCellMar>
              </w:tblPrEx>
              <w:trPr>
                <w:cantSplit/>
                <w:trHeight w:val="1196" w:hRule="atLeast"/>
              </w:trPr>
              <w:tc>
                <w:tcPr>
                  <w:tcW w:w="507" w:type="dxa"/>
                  <w:tcBorders>
                    <w:tl2br w:val="nil"/>
                    <w:tr2bl w:val="nil"/>
                  </w:tcBorders>
                  <w:vAlign w:val="center"/>
                </w:tcPr>
                <w:p>
                  <w:pPr>
                    <w:spacing w:line="36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w:t>
                  </w:r>
                </w:p>
              </w:tc>
              <w:tc>
                <w:tcPr>
                  <w:tcW w:w="1072" w:type="dxa"/>
                  <w:tcBorders>
                    <w:tl2br w:val="nil"/>
                    <w:tr2bl w:val="nil"/>
                  </w:tcBorders>
                  <w:vAlign w:val="center"/>
                </w:tcPr>
                <w:p>
                  <w:pPr>
                    <w:widowControl/>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触电</w:t>
                  </w:r>
                </w:p>
              </w:tc>
              <w:tc>
                <w:tcPr>
                  <w:tcW w:w="970" w:type="dxa"/>
                  <w:tcBorders>
                    <w:tl2br w:val="nil"/>
                    <w:tr2bl w:val="nil"/>
                  </w:tcBorders>
                  <w:vAlign w:val="center"/>
                </w:tcPr>
                <w:p>
                  <w:pPr>
                    <w:spacing w:line="36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rPr>
                    <w:t>无触电伤人事故</w:t>
                  </w:r>
                </w:p>
              </w:tc>
              <w:tc>
                <w:tcPr>
                  <w:tcW w:w="8670" w:type="dxa"/>
                  <w:tcBorders>
                    <w:tl2br w:val="nil"/>
                    <w:tr2bl w:val="nil"/>
                  </w:tcBorders>
                  <w:vAlign w:val="center"/>
                </w:tcPr>
                <w:p>
                  <w:pPr>
                    <w:widowControl/>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1、各类服务</w:t>
                  </w:r>
                  <w:r>
                    <w:rPr>
                      <w:rFonts w:hint="eastAsia" w:asciiTheme="minorEastAsia" w:hAnsiTheme="minorEastAsia" w:eastAsiaTheme="minorEastAsia" w:cstheme="minorEastAsia"/>
                      <w:color w:val="auto"/>
                      <w:kern w:val="0"/>
                      <w:sz w:val="21"/>
                      <w:szCs w:val="21"/>
                      <w:highlight w:val="none"/>
                      <w:lang w:eastAsia="zh-CN"/>
                    </w:rPr>
                    <w:t>远程</w:t>
                  </w:r>
                  <w:r>
                    <w:rPr>
                      <w:rFonts w:hint="eastAsia" w:asciiTheme="minorEastAsia" w:hAnsiTheme="minorEastAsia" w:eastAsiaTheme="minorEastAsia" w:cstheme="minorEastAsia"/>
                      <w:color w:val="auto"/>
                      <w:kern w:val="0"/>
                      <w:sz w:val="21"/>
                      <w:szCs w:val="21"/>
                      <w:highlight w:val="none"/>
                    </w:rPr>
                    <w:t>活动应与内、外电线保持安全距离，达不到规范规定的最小安全距离时，必须采用可靠的防护和监护措施。2、临时用电配电线必须按规范架设整齐，架空线路必须采用绝缘导线，不得采用塑胶软线。3、配电系统必须实行分级配电。4、各类配电箱、开关箱外观应完整、牢固、防雨、防尘，箱体应外涂安全色标，统一编号，箱内无杂物。5、检修各类配电箱、开关箱、电气设备和电力施工机具时，必须切断电源，拆除电气连接并悬挂警示标牌。</w:t>
                  </w:r>
                </w:p>
              </w:tc>
            </w:tr>
            <w:tr>
              <w:tblPrEx>
                <w:tblCellMar>
                  <w:top w:w="0" w:type="dxa"/>
                  <w:left w:w="108" w:type="dxa"/>
                  <w:bottom w:w="0" w:type="dxa"/>
                  <w:right w:w="108" w:type="dxa"/>
                </w:tblCellMar>
              </w:tblPrEx>
              <w:trPr>
                <w:cantSplit/>
                <w:trHeight w:val="453" w:hRule="atLeast"/>
              </w:trPr>
              <w:tc>
                <w:tcPr>
                  <w:tcW w:w="507" w:type="dxa"/>
                  <w:tcBorders>
                    <w:tl2br w:val="nil"/>
                    <w:tr2bl w:val="nil"/>
                  </w:tcBorders>
                  <w:vAlign w:val="center"/>
                </w:tcPr>
                <w:p>
                  <w:pPr>
                    <w:spacing w:line="36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w:t>
                  </w:r>
                </w:p>
              </w:tc>
              <w:tc>
                <w:tcPr>
                  <w:tcW w:w="1072" w:type="dxa"/>
                  <w:tcBorders>
                    <w:tl2br w:val="nil"/>
                    <w:tr2bl w:val="nil"/>
                  </w:tcBorders>
                  <w:vAlign w:val="center"/>
                </w:tcPr>
                <w:p>
                  <w:pPr>
                    <w:widowControl/>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火灾</w:t>
                  </w:r>
                </w:p>
              </w:tc>
              <w:tc>
                <w:tcPr>
                  <w:tcW w:w="970" w:type="dxa"/>
                  <w:tcBorders>
                    <w:tl2br w:val="nil"/>
                    <w:tr2bl w:val="nil"/>
                  </w:tcBorders>
                  <w:vAlign w:val="center"/>
                </w:tcPr>
                <w:p>
                  <w:pPr>
                    <w:widowControl/>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无火灾事故发生</w:t>
                  </w:r>
                </w:p>
              </w:tc>
              <w:tc>
                <w:tcPr>
                  <w:tcW w:w="8670" w:type="dxa"/>
                  <w:tcBorders>
                    <w:tl2br w:val="nil"/>
                    <w:tr2bl w:val="nil"/>
                  </w:tcBorders>
                  <w:vAlign w:val="center"/>
                </w:tcPr>
                <w:p>
                  <w:pPr>
                    <w:widowControl/>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rPr>
                    <w:t>1、易燃易爆物品必须有严格的防火措施，确定防火负责人，配备灭火器材，加强巡查。2、服务材料的存放、使用必须符合防火要求。3、办公区域的用电要符合防火规定。4、制定消防预案，成立应急小组处理突发事件。5、定期对电线、电缆电气设施进行检修。</w:t>
                  </w:r>
                </w:p>
              </w:tc>
            </w:tr>
            <w:tr>
              <w:tblPrEx>
                <w:tblCellMar>
                  <w:top w:w="0" w:type="dxa"/>
                  <w:left w:w="108" w:type="dxa"/>
                  <w:bottom w:w="0" w:type="dxa"/>
                  <w:right w:w="108" w:type="dxa"/>
                </w:tblCellMar>
              </w:tblPrEx>
              <w:trPr>
                <w:cantSplit/>
                <w:trHeight w:val="90" w:hRule="atLeast"/>
              </w:trPr>
              <w:tc>
                <w:tcPr>
                  <w:tcW w:w="507" w:type="dxa"/>
                  <w:tcBorders>
                    <w:tl2br w:val="nil"/>
                    <w:tr2bl w:val="nil"/>
                  </w:tcBorders>
                  <w:vAlign w:val="center"/>
                </w:tcPr>
                <w:p>
                  <w:pPr>
                    <w:spacing w:line="36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w:t>
                  </w:r>
                </w:p>
              </w:tc>
              <w:tc>
                <w:tcPr>
                  <w:tcW w:w="1072" w:type="dxa"/>
                  <w:tcBorders>
                    <w:tl2br w:val="nil"/>
                    <w:tr2bl w:val="nil"/>
                  </w:tcBorders>
                  <w:vAlign w:val="center"/>
                </w:tcPr>
                <w:p>
                  <w:pPr>
                    <w:widowControl/>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健康安全</w:t>
                  </w:r>
                </w:p>
              </w:tc>
              <w:tc>
                <w:tcPr>
                  <w:tcW w:w="970" w:type="dxa"/>
                  <w:tcBorders>
                    <w:tl2br w:val="nil"/>
                    <w:tr2bl w:val="nil"/>
                  </w:tcBorders>
                  <w:vAlign w:val="center"/>
                </w:tcPr>
                <w:p>
                  <w:pPr>
                    <w:widowControl/>
                    <w:rPr>
                      <w:rFonts w:hint="eastAsia" w:asciiTheme="minorEastAsia" w:hAnsiTheme="minorEastAsia" w:eastAsiaTheme="minorEastAsia" w:cstheme="minorEastAsia"/>
                      <w:color w:val="auto"/>
                      <w:kern w:val="0"/>
                      <w:sz w:val="21"/>
                      <w:szCs w:val="21"/>
                      <w:highlight w:val="none"/>
                    </w:rPr>
                  </w:pPr>
                </w:p>
              </w:tc>
              <w:tc>
                <w:tcPr>
                  <w:tcW w:w="8670" w:type="dxa"/>
                  <w:tcBorders>
                    <w:tl2br w:val="nil"/>
                    <w:tr2bl w:val="nil"/>
                  </w:tcBorders>
                  <w:vAlign w:val="center"/>
                </w:tcPr>
                <w:p>
                  <w:pPr>
                    <w:spacing w:line="360" w:lineRule="auto"/>
                    <w:ind w:firstLine="210" w:firstLineChars="1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用于员工体检，每年一次；</w:t>
                  </w:r>
                </w:p>
              </w:tc>
            </w:tr>
          </w:tbl>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编制:综合部</w:t>
            </w:r>
            <w:r>
              <w:rPr>
                <w:rFonts w:hint="eastAsia" w:asciiTheme="minorEastAsia" w:hAnsiTheme="minorEastAsia" w:eastAsiaTheme="minorEastAsia" w:cstheme="minorEastAsia"/>
                <w:color w:val="auto"/>
                <w:sz w:val="21"/>
                <w:szCs w:val="21"/>
                <w:highlight w:val="none"/>
              </w:rPr>
              <w:tab/>
            </w:r>
            <w:r>
              <w:rPr>
                <w:rFonts w:hint="eastAsia" w:asciiTheme="minorEastAsia" w:hAnsiTheme="minorEastAsia" w:eastAsiaTheme="minorEastAsia" w:cstheme="minorEastAsia"/>
                <w:color w:val="auto"/>
                <w:sz w:val="21"/>
                <w:szCs w:val="21"/>
                <w:highlight w:val="none"/>
              </w:rPr>
              <w:t>审核:刘金波</w:t>
            </w:r>
            <w:r>
              <w:rPr>
                <w:rFonts w:hint="eastAsia" w:asciiTheme="minorEastAsia" w:hAnsiTheme="minorEastAsia" w:eastAsiaTheme="minorEastAsia" w:cstheme="minorEastAsia"/>
                <w:color w:val="auto"/>
                <w:sz w:val="21"/>
                <w:szCs w:val="21"/>
                <w:highlight w:val="none"/>
              </w:rPr>
              <w:tab/>
            </w:r>
            <w:r>
              <w:rPr>
                <w:rFonts w:hint="eastAsia" w:asciiTheme="minorEastAsia" w:hAnsiTheme="minorEastAsia" w:eastAsiaTheme="minorEastAsia" w:cstheme="minorEastAsia"/>
                <w:color w:val="auto"/>
                <w:sz w:val="21"/>
                <w:szCs w:val="21"/>
                <w:highlight w:val="none"/>
              </w:rPr>
              <w:t>批准:丁健平</w:t>
            </w:r>
          </w:p>
        </w:tc>
        <w:tc>
          <w:tcPr>
            <w:tcW w:w="173" w:type="pct"/>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trPr>
        <w:tc>
          <w:tcPr>
            <w:tcW w:w="1513" w:type="dxa"/>
            <w:vAlign w:val="center"/>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环境因素评价和控制措施的确定</w:t>
            </w:r>
          </w:p>
        </w:tc>
        <w:tc>
          <w:tcPr>
            <w:tcW w:w="1057" w:type="dxa"/>
            <w:vAlign w:val="center"/>
          </w:tcPr>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E</w:t>
            </w:r>
          </w:p>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6.1.2</w:t>
            </w:r>
          </w:p>
        </w:tc>
        <w:tc>
          <w:tcPr>
            <w:tcW w:w="11759" w:type="dxa"/>
            <w:vAlign w:val="center"/>
          </w:tcPr>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编制了《环境因素识别与评价控制程序》，经查基本符合标准要求。</w:t>
            </w:r>
          </w:p>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提供《环境因素评价表》，其中涉及销售部包括电磁辐射、噪声污染、固废废弃、氟利昂泄露、车辆行驶尾气排放、意外火灾、资源的消耗等。</w:t>
            </w:r>
          </w:p>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见</w:t>
            </w:r>
            <w:r>
              <w:rPr>
                <w:rFonts w:hint="eastAsia" w:asciiTheme="minorEastAsia" w:hAnsiTheme="minorEastAsia" w:eastAsiaTheme="minorEastAsia" w:cstheme="minorEastAsia"/>
                <w:color w:val="auto"/>
                <w:sz w:val="21"/>
                <w:szCs w:val="21"/>
                <w:highlight w:val="none"/>
              </w:rPr>
              <w:t>《重要环境因素清单》，其中涉及销售部的重要环境因素：1. 潜在火灾事故发生2. 固体废弃物处理。评价基本合理。</w:t>
            </w:r>
          </w:p>
        </w:tc>
        <w:tc>
          <w:tcPr>
            <w:tcW w:w="173" w:type="pct"/>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1" w:hRule="atLeast"/>
        </w:trPr>
        <w:tc>
          <w:tcPr>
            <w:tcW w:w="1513" w:type="dxa"/>
            <w:vAlign w:val="center"/>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危险源辨识、风险评价和控制措施</w:t>
            </w:r>
          </w:p>
        </w:tc>
        <w:tc>
          <w:tcPr>
            <w:tcW w:w="1057" w:type="dxa"/>
            <w:vAlign w:val="center"/>
          </w:tcPr>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O</w:t>
            </w:r>
          </w:p>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6.1.2</w:t>
            </w:r>
          </w:p>
        </w:tc>
        <w:tc>
          <w:tcPr>
            <w:tcW w:w="11759" w:type="dxa"/>
            <w:vAlign w:val="center"/>
          </w:tcPr>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提供《</w:t>
            </w:r>
            <w:r>
              <w:rPr>
                <w:rFonts w:hint="eastAsia" w:asciiTheme="minorEastAsia" w:hAnsiTheme="minorEastAsia" w:eastAsiaTheme="minorEastAsia" w:cstheme="minorEastAsia"/>
                <w:bCs/>
                <w:color w:val="auto"/>
                <w:spacing w:val="10"/>
                <w:sz w:val="21"/>
                <w:szCs w:val="21"/>
                <w:highlight w:val="none"/>
              </w:rPr>
              <w:t>环境因素识别与评价控制程序</w:t>
            </w:r>
            <w:r>
              <w:rPr>
                <w:rFonts w:hint="eastAsia" w:asciiTheme="minorEastAsia" w:hAnsiTheme="minorEastAsia" w:eastAsiaTheme="minorEastAsia" w:cstheme="minorEastAsia"/>
                <w:bCs/>
                <w:color w:val="auto"/>
                <w:spacing w:val="10"/>
                <w:sz w:val="21"/>
                <w:szCs w:val="21"/>
                <w:highlight w:val="none"/>
                <w:lang w:eastAsia="zh-CN"/>
              </w:rPr>
              <w:t>》</w:t>
            </w:r>
            <w:r>
              <w:rPr>
                <w:rFonts w:hint="eastAsia" w:asciiTheme="minorEastAsia" w:hAnsiTheme="minorEastAsia" w:eastAsiaTheme="minorEastAsia" w:cstheme="minorEastAsia"/>
                <w:bCs/>
                <w:color w:val="auto"/>
                <w:spacing w:val="10"/>
                <w:sz w:val="21"/>
                <w:szCs w:val="21"/>
                <w:highlight w:val="none"/>
              </w:rPr>
              <w:t>TTZT -CX-6.1.2-11，</w:t>
            </w:r>
            <w:r>
              <w:rPr>
                <w:rFonts w:hint="eastAsia" w:asciiTheme="minorEastAsia" w:hAnsiTheme="minorEastAsia" w:eastAsiaTheme="minorEastAsia" w:cstheme="minorEastAsia"/>
                <w:color w:val="auto"/>
                <w:sz w:val="21"/>
                <w:szCs w:val="21"/>
                <w:highlight w:val="none"/>
              </w:rPr>
              <w:t>对影响职业健康安全的危险源，评价其风险程度及级别，不可接受风险评价的标准和更新的时机,并确定更新不可接受风险因素从而进行有效控制等方面的管理要求进行了规定，满足要求。提供的：“危险源识别与风险评价表”、“不可接受风险源清单”，评价考虑了将来、状态、可能导致的事件，并进行了评价，用LEC法考虑了发生事故的可能性大小、频繁程度、损失后果等, 按风险等级分析方法，共识别出不可接受风险涉及：</w:t>
            </w:r>
            <w:r>
              <w:rPr>
                <w:rFonts w:hint="eastAsia" w:asciiTheme="minorEastAsia" w:hAnsiTheme="minorEastAsia" w:eastAsiaTheme="minorEastAsia" w:cstheme="minorEastAsia"/>
                <w:bCs/>
                <w:color w:val="auto"/>
                <w:sz w:val="21"/>
                <w:szCs w:val="21"/>
                <w:highlight w:val="none"/>
              </w:rPr>
              <w:t>潜在火灾、爆炸，触电</w:t>
            </w:r>
            <w:r>
              <w:rPr>
                <w:rFonts w:hint="eastAsia" w:asciiTheme="minorEastAsia" w:hAnsiTheme="minorEastAsia" w:eastAsiaTheme="minorEastAsia" w:cstheme="minorEastAsia"/>
                <w:color w:val="auto"/>
                <w:sz w:val="21"/>
                <w:szCs w:val="21"/>
                <w:highlight w:val="none"/>
              </w:rPr>
              <w:t>，评价符合程序要求及公司的实际情况。对危险源的控制措施包括制定管理制度、监督检查、应急预案、培训等。</w:t>
            </w:r>
          </w:p>
        </w:tc>
        <w:tc>
          <w:tcPr>
            <w:tcW w:w="173" w:type="pct"/>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510" w:type="pct"/>
          </w:tcPr>
          <w:p>
            <w:pPr>
              <w:spacing w:line="400" w:lineRule="exact"/>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法律法规和其他要求和合规性评价（OHSMS）</w:t>
            </w:r>
          </w:p>
        </w:tc>
        <w:tc>
          <w:tcPr>
            <w:tcW w:w="356" w:type="pct"/>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EO：6.1.3</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EO：9.1.2</w:t>
            </w:r>
          </w:p>
          <w:p>
            <w:pPr>
              <w:pStyle w:val="2"/>
              <w:rPr>
                <w:rFonts w:hint="eastAsia" w:asciiTheme="minorEastAsia" w:hAnsiTheme="minorEastAsia" w:eastAsiaTheme="minorEastAsia" w:cstheme="minorEastAsia"/>
                <w:sz w:val="21"/>
                <w:szCs w:val="21"/>
              </w:rPr>
            </w:pPr>
          </w:p>
        </w:tc>
        <w:tc>
          <w:tcPr>
            <w:tcW w:w="3959" w:type="pct"/>
          </w:tcPr>
          <w:p>
            <w:pPr>
              <w:spacing w:after="156" w:afterLines="50"/>
              <w:ind w:right="-365" w:rightChars="-174" w:firstLine="315" w:firstLineChars="15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根据《法律法规和其它要求控制程序TTZT  -CX-6.1.3-12》要求，随时对法律法规的更新进行跟踪，并进行补充。</w:t>
            </w:r>
            <w:r>
              <w:rPr>
                <w:rFonts w:hint="eastAsia" w:asciiTheme="minorEastAsia" w:hAnsiTheme="minorEastAsia" w:eastAsiaTheme="minorEastAsia" w:cstheme="minorEastAsia"/>
                <w:sz w:val="21"/>
                <w:szCs w:val="21"/>
                <w:lang w:eastAsia="zh-CN"/>
              </w:rPr>
              <w:t>提交了《</w:t>
            </w:r>
            <w:r>
              <w:rPr>
                <w:rFonts w:hint="eastAsia" w:asciiTheme="minorEastAsia" w:hAnsiTheme="minorEastAsia" w:eastAsiaTheme="minorEastAsia" w:cstheme="minorEastAsia"/>
                <w:sz w:val="21"/>
                <w:szCs w:val="21"/>
              </w:rPr>
              <w:t>环境绩效监测评价报告</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EQ-9.1.1-01</w:t>
            </w:r>
            <w:r>
              <w:rPr>
                <w:rFonts w:hint="eastAsia" w:asciiTheme="minorEastAsia" w:hAnsiTheme="minorEastAsia" w:eastAsiaTheme="minorEastAsia" w:cstheme="minorEastAsia"/>
                <w:sz w:val="21"/>
                <w:szCs w:val="21"/>
                <w:lang w:eastAsia="zh-CN"/>
              </w:rPr>
              <w:t>，评价部门及人员：领导层丁健平、 管理者代表刘金波、 综合部：马云龙    销售部：丁同安    职安代表：朱金林  记录人：刘金波   2019年12月25日，法律法规文件于日期：2019.</w:t>
            </w:r>
            <w:r>
              <w:rPr>
                <w:rFonts w:hint="eastAsia" w:asciiTheme="minorEastAsia" w:hAnsiTheme="minorEastAsia" w:eastAsiaTheme="minorEastAsia" w:cstheme="minorEastAsia"/>
                <w:sz w:val="21"/>
                <w:szCs w:val="21"/>
                <w:lang w:val="en-US" w:eastAsia="zh-CN"/>
              </w:rPr>
              <w:t>11</w:t>
            </w:r>
            <w:r>
              <w:rPr>
                <w:rFonts w:hint="eastAsia" w:asciiTheme="minorEastAsia" w:hAnsiTheme="minorEastAsia" w:eastAsiaTheme="minorEastAsia" w:cstheme="minorEastAsia"/>
                <w:sz w:val="21"/>
                <w:szCs w:val="21"/>
                <w:lang w:eastAsia="zh-CN"/>
              </w:rPr>
              <w:t>.1</w:t>
            </w:r>
            <w:r>
              <w:rPr>
                <w:rFonts w:hint="eastAsia" w:asciiTheme="minorEastAsia" w:hAnsiTheme="minorEastAsia" w:eastAsiaTheme="minorEastAsia" w:cstheme="minorEastAsia"/>
                <w:sz w:val="21"/>
                <w:szCs w:val="21"/>
                <w:lang w:val="en-US" w:eastAsia="zh-CN"/>
              </w:rPr>
              <w:t>5</w:t>
            </w:r>
            <w:r>
              <w:rPr>
                <w:rFonts w:hint="eastAsia" w:asciiTheme="minorEastAsia" w:hAnsiTheme="minorEastAsia" w:eastAsiaTheme="minorEastAsia" w:cstheme="minorEastAsia"/>
                <w:sz w:val="21"/>
                <w:szCs w:val="21"/>
                <w:lang w:eastAsia="zh-CN"/>
              </w:rPr>
              <w:t>进行了更新；</w:t>
            </w:r>
            <w:r>
              <w:rPr>
                <w:rFonts w:hint="eastAsia" w:asciiTheme="minorEastAsia" w:hAnsiTheme="minorEastAsia" w:eastAsiaTheme="minorEastAsia" w:cstheme="minorEastAsia"/>
                <w:sz w:val="21"/>
                <w:szCs w:val="21"/>
                <w:lang w:val="en-US" w:eastAsia="zh-CN"/>
              </w:rPr>
              <w:t>进行了《合规性评价 》，</w:t>
            </w:r>
            <w:r>
              <w:rPr>
                <w:rFonts w:hint="eastAsia" w:asciiTheme="minorEastAsia" w:hAnsiTheme="minorEastAsia" w:eastAsiaTheme="minorEastAsia" w:cstheme="minorEastAsia"/>
                <w:sz w:val="21"/>
                <w:szCs w:val="21"/>
                <w:lang w:eastAsia="zh-CN"/>
              </w:rPr>
              <w:t>评价人：马云龙   丁健平等，法律法规文件于2019.1</w:t>
            </w:r>
            <w:r>
              <w:rPr>
                <w:rFonts w:hint="eastAsia" w:asciiTheme="minorEastAsia" w:hAnsiTheme="minorEastAsia" w:eastAsiaTheme="minorEastAsia" w:cstheme="minorEastAsia"/>
                <w:sz w:val="21"/>
                <w:szCs w:val="21"/>
                <w:lang w:val="en-US" w:eastAsia="zh-CN"/>
              </w:rPr>
              <w:t>2</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10</w:t>
            </w:r>
            <w:r>
              <w:rPr>
                <w:rFonts w:hint="eastAsia" w:asciiTheme="minorEastAsia" w:hAnsiTheme="minorEastAsia" w:eastAsiaTheme="minorEastAsia" w:cstheme="minorEastAsia"/>
                <w:sz w:val="21"/>
                <w:szCs w:val="21"/>
                <w:lang w:eastAsia="zh-CN"/>
              </w:rPr>
              <w:t>进行了更新。涉及法律法规及地方要求包括：</w:t>
            </w:r>
          </w:p>
          <w:p>
            <w:pPr>
              <w:pStyle w:val="2"/>
              <w:rPr>
                <w:rFonts w:hint="eastAsia" w:asciiTheme="minorEastAsia" w:hAnsiTheme="minorEastAsia" w:eastAsiaTheme="minorEastAsia" w:cstheme="minorEastAsia"/>
                <w:sz w:val="21"/>
                <w:szCs w:val="21"/>
              </w:rPr>
            </w:pPr>
            <w:r>
              <w:rPr>
                <w:rFonts w:hint="eastAsia"/>
                <w:lang w:eastAsia="zh-CN"/>
              </w:rPr>
              <w:t>中华人民共和国环境保护法、北京市节约能源条例、北京市水污染防治条例、北京市消防条例、北京市大气污染防治条例、北京市生活垃圾管理条例、</w:t>
            </w:r>
            <w:r>
              <w:rPr>
                <w:rFonts w:hint="eastAsia" w:asciiTheme="minorEastAsia" w:hAnsiTheme="minorEastAsia" w:eastAsiaTheme="minorEastAsia" w:cstheme="minorEastAsia"/>
                <w:sz w:val="21"/>
                <w:szCs w:val="21"/>
                <w:lang w:eastAsia="zh-CN"/>
              </w:rPr>
              <w:t>社会消防安全教育培训规定、北京市安全生产条例、北京市职业病防治卫生监督条例、北京市劳动保护监察条例、北京市工伤保险条例实施办法等，</w:t>
            </w:r>
            <w:r>
              <w:rPr>
                <w:rFonts w:hint="eastAsia" w:asciiTheme="minorEastAsia" w:hAnsiTheme="minorEastAsia" w:eastAsiaTheme="minorEastAsia" w:cstheme="minorEastAsia"/>
                <w:sz w:val="21"/>
                <w:szCs w:val="21"/>
              </w:rPr>
              <w:t>经查合规性评价基本符合要求。</w:t>
            </w:r>
          </w:p>
        </w:tc>
        <w:tc>
          <w:tcPr>
            <w:tcW w:w="173" w:type="pct"/>
          </w:tcPr>
          <w:p>
            <w:pP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510" w:type="pct"/>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资源</w:t>
            </w:r>
          </w:p>
        </w:tc>
        <w:tc>
          <w:tcPr>
            <w:tcW w:w="356" w:type="pct"/>
          </w:tcPr>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xml:space="preserve">Q：7.1  </w:t>
            </w:r>
          </w:p>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E/O：7.1</w:t>
            </w:r>
          </w:p>
        </w:tc>
        <w:tc>
          <w:tcPr>
            <w:tcW w:w="3959" w:type="pct"/>
            <w:vAlign w:val="center"/>
          </w:tcPr>
          <w:p>
            <w:pPr>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公司为确保管理体系的有效运行和持续改进，确保满足顾客要求，增强顾客满意，为管理体系的有效运行和持续改进提供充分的资源，包括人力资源、基础设施和工作环境；还包括为增强顾客满意所必需的资源。现有员工、办公生产销售场所、办公生产销售设备等基础设施以及必要的工作环境，配备较为充分。</w:t>
            </w:r>
          </w:p>
          <w:p>
            <w:pPr>
              <w:spacing w:line="240" w:lineRule="exact"/>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查设备台帐，主要是办公设备，包括：电脑、电话、办公桌椅等；办公室电脑、传真、打印机及网络运行正常，日常维护保养包括对电脑的定期杀毒、重装系统等，打印机年底检修等。全部完好。库房物品放置基本有秩序；</w:t>
            </w:r>
          </w:p>
          <w:p>
            <w:pPr>
              <w:spacing w:line="400" w:lineRule="exact"/>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消防栓、灭火器若干，配电箱无异常。</w:t>
            </w:r>
          </w:p>
          <w:p>
            <w:pPr>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总经理主持了今年的管理评审，对方针、目标的适宜性进行了评审，协助管代进行了内审，确保所需资源得到满足。</w:t>
            </w:r>
          </w:p>
          <w:p>
            <w:pPr>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为确保公司环保、安全资金得得以保障，公司每年制定专门预算，及时提供有关资金，确保本公司各项资金及时到位，保证环保、安全活动得到实施，达到预防污染、安全第一的活动目的。经了解组织环保、安全主要投入到防疫物资、劳保用品、职工福利、继续教育等方面。</w:t>
            </w:r>
          </w:p>
          <w:p>
            <w:pPr>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查见《劳保用品发放登记表》，按月发放手套、口罩、安全帽、工作服等劳保用品，办公、仓储</w:t>
            </w:r>
            <w:r>
              <w:rPr>
                <w:rFonts w:hint="eastAsia" w:asciiTheme="minorEastAsia" w:hAnsiTheme="minorEastAsia" w:eastAsiaTheme="minorEastAsia" w:cstheme="minorEastAsia"/>
                <w:color w:val="auto"/>
                <w:sz w:val="21"/>
                <w:szCs w:val="21"/>
                <w:highlight w:val="none"/>
                <w:lang w:eastAsia="zh-CN"/>
              </w:rPr>
              <w:t>远程</w:t>
            </w:r>
            <w:r>
              <w:rPr>
                <w:rFonts w:hint="eastAsia" w:asciiTheme="minorEastAsia" w:hAnsiTheme="minorEastAsia" w:eastAsiaTheme="minorEastAsia" w:cstheme="minorEastAsia"/>
                <w:color w:val="auto"/>
                <w:sz w:val="21"/>
                <w:szCs w:val="21"/>
                <w:highlight w:val="none"/>
              </w:rPr>
              <w:t>有分类垃圾箱、禁烟标识、灭火器等器材。</w:t>
            </w:r>
          </w:p>
          <w:p>
            <w:pPr>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查见环保安全财务支出明细。</w:t>
            </w:r>
          </w:p>
          <w:p>
            <w:pPr>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通过观察及与领导沟通了解到，公司为确保管理体系的有效运行和持续改进，确保满足顾客要求，增强顾客满意，确定并提供了必要的资源，目前仓库和总经办等资源配备基本能满足要求，机构设置合理。经过管理体系运行证明，现有资源可满足体系和产品的要求。</w:t>
            </w:r>
          </w:p>
          <w:p>
            <w:pPr>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公司目前的基础设施，能够满足当前管理体系的要求。公司将依据经营发展的需要，会不断补充与增加。</w:t>
            </w:r>
          </w:p>
        </w:tc>
        <w:tc>
          <w:tcPr>
            <w:tcW w:w="173" w:type="pct"/>
          </w:tcPr>
          <w:p>
            <w:pP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510" w:type="pct"/>
            <w:vAlign w:val="center"/>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沟通、参与、协商</w:t>
            </w:r>
          </w:p>
        </w:tc>
        <w:tc>
          <w:tcPr>
            <w:tcW w:w="356" w:type="pct"/>
            <w:vAlign w:val="center"/>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QEO</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7.4</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O5.4</w:t>
            </w:r>
          </w:p>
        </w:tc>
        <w:tc>
          <w:tcPr>
            <w:tcW w:w="3959" w:type="pct"/>
            <w:vAlign w:val="center"/>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通过信息联络单、口头、电话、网络、办公会议等方式进行内部沟通，通过宣贯培训让员工充分认识到质量、环境、职业健康安全体系的要求。对外部相关方进行信息的交流方式：通过文件传真、接收通知、</w:t>
            </w:r>
            <w:r>
              <w:rPr>
                <w:rFonts w:hint="eastAsia" w:asciiTheme="minorEastAsia" w:hAnsiTheme="minorEastAsia" w:eastAsiaTheme="minorEastAsia" w:cstheme="minorEastAsia"/>
                <w:sz w:val="21"/>
                <w:szCs w:val="21"/>
                <w:lang w:eastAsia="zh-CN"/>
              </w:rPr>
              <w:t>远程</w:t>
            </w:r>
            <w:r>
              <w:rPr>
                <w:rFonts w:hint="eastAsia" w:asciiTheme="minorEastAsia" w:hAnsiTheme="minorEastAsia" w:eastAsiaTheme="minorEastAsia" w:cstheme="minorEastAsia"/>
                <w:sz w:val="21"/>
                <w:szCs w:val="21"/>
              </w:rPr>
              <w:t>交流、合同协议、上网、施加影响等方式沟通协商。内部、外部沟通协商的机制已建立运行，基本有效。</w:t>
            </w:r>
          </w:p>
        </w:tc>
        <w:tc>
          <w:tcPr>
            <w:tcW w:w="173" w:type="pct"/>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trPr>
        <w:tc>
          <w:tcPr>
            <w:tcW w:w="510" w:type="pct"/>
            <w:vAlign w:val="center"/>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策划</w:t>
            </w:r>
          </w:p>
        </w:tc>
        <w:tc>
          <w:tcPr>
            <w:tcW w:w="356" w:type="pct"/>
            <w:vAlign w:val="center"/>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Q8.1</w:t>
            </w:r>
          </w:p>
        </w:tc>
        <w:tc>
          <w:tcPr>
            <w:tcW w:w="3959" w:type="pct"/>
            <w:vAlign w:val="center"/>
          </w:tcPr>
          <w:p>
            <w:p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按照与顾客签订的供货合同及公司储运流程执行销售工作。并严格遵照执行公司制定的：《顾客满意程度测量程序</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TTZT -CX-9.1.2-23》、销售管理制度 等程序和相关制度。</w:t>
            </w:r>
          </w:p>
          <w:p>
            <w:pPr>
              <w:spacing w:line="360" w:lineRule="auto"/>
              <w:ind w:firstLine="422"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z w:val="21"/>
                <w:szCs w:val="21"/>
              </w:rPr>
              <w:t>销售流程</w:t>
            </w:r>
            <w:r>
              <w:rPr>
                <w:rFonts w:hint="eastAsia" w:asciiTheme="minorEastAsia" w:hAnsiTheme="minorEastAsia" w:eastAsiaTheme="minorEastAsia" w:cstheme="minorEastAsia"/>
                <w:bCs/>
                <w:sz w:val="21"/>
                <w:szCs w:val="21"/>
              </w:rPr>
              <w:t>：</w:t>
            </w:r>
            <w:r>
              <w:rPr>
                <w:rFonts w:hint="eastAsia" w:asciiTheme="minorEastAsia" w:hAnsiTheme="minorEastAsia" w:eastAsiaTheme="minorEastAsia" w:cstheme="minorEastAsia"/>
                <w:sz w:val="21"/>
                <w:szCs w:val="21"/>
              </w:rPr>
              <w:t>客户接触----合同评审----签订合同-----客户付款------入帐------供方评定→签订采购合同→供方发货→验收-----客户提货-----验收----满意度调查</w:t>
            </w:r>
          </w:p>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zh-CN"/>
              </w:rPr>
              <w:t>需确认过程：销售服务过程，有确认记录，见</w:t>
            </w:r>
            <w:r>
              <w:rPr>
                <w:rFonts w:hint="eastAsia" w:asciiTheme="minorEastAsia" w:hAnsiTheme="minorEastAsia" w:eastAsiaTheme="minorEastAsia" w:cstheme="minorEastAsia"/>
                <w:sz w:val="21"/>
                <w:szCs w:val="21"/>
              </w:rPr>
              <w:t>Q8.5.1</w:t>
            </w:r>
          </w:p>
          <w:p>
            <w:pPr>
              <w:spacing w:line="360" w:lineRule="auto"/>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查到制定了销售计划；经确认：销售实现过程没有外包过程</w:t>
            </w:r>
            <w:r>
              <w:rPr>
                <w:rFonts w:hint="eastAsia" w:asciiTheme="minorEastAsia" w:hAnsiTheme="minorEastAsia" w:eastAsiaTheme="minorEastAsia" w:cstheme="minorEastAsia"/>
                <w:sz w:val="21"/>
                <w:szCs w:val="21"/>
                <w:lang w:eastAsia="zh-CN"/>
              </w:rPr>
              <w:t>，客户采用自提方式取货</w:t>
            </w:r>
            <w:r>
              <w:rPr>
                <w:rFonts w:hint="eastAsia" w:asciiTheme="minorEastAsia" w:hAnsiTheme="minorEastAsia" w:eastAsiaTheme="minorEastAsia" w:cstheme="minorEastAsia"/>
                <w:sz w:val="21"/>
                <w:szCs w:val="21"/>
              </w:rPr>
              <w:t>。</w:t>
            </w:r>
          </w:p>
        </w:tc>
        <w:tc>
          <w:tcPr>
            <w:tcW w:w="173" w:type="pct"/>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6" w:hRule="atLeast"/>
        </w:trPr>
        <w:tc>
          <w:tcPr>
            <w:tcW w:w="510" w:type="pct"/>
            <w:vAlign w:val="center"/>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顾客沟通</w:t>
            </w:r>
          </w:p>
        </w:tc>
        <w:tc>
          <w:tcPr>
            <w:tcW w:w="356" w:type="pct"/>
            <w:vAlign w:val="center"/>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Q</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8.2.1</w:t>
            </w:r>
          </w:p>
        </w:tc>
        <w:tc>
          <w:tcPr>
            <w:tcW w:w="3959" w:type="pct"/>
            <w:vAlign w:val="center"/>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顾客沟通方式有面谈、电话、网络等联系形式。确认订单时向顾客了解顾客对服务质量、流程进度等的要求；向顾客报告进度，再次确认服务地点、时间等，及时收集顾客对产品的反馈信息，开展顾客满意度调查，包括顾客抱怨和投诉，未发生顾客投诉。</w:t>
            </w:r>
          </w:p>
        </w:tc>
        <w:tc>
          <w:tcPr>
            <w:tcW w:w="173" w:type="pct"/>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trPr>
        <w:tc>
          <w:tcPr>
            <w:tcW w:w="510" w:type="pct"/>
            <w:vAlign w:val="center"/>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与产品和服务要求有关的要求确定</w:t>
            </w:r>
          </w:p>
        </w:tc>
        <w:tc>
          <w:tcPr>
            <w:tcW w:w="356" w:type="pct"/>
            <w:vAlign w:val="center"/>
          </w:tcPr>
          <w:p>
            <w:pPr>
              <w:tabs>
                <w:tab w:val="left" w:pos="341"/>
              </w:tabs>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Q</w:t>
            </w:r>
            <w:r>
              <w:rPr>
                <w:rFonts w:hint="eastAsia" w:asciiTheme="minorEastAsia" w:hAnsiTheme="minorEastAsia" w:eastAsiaTheme="minorEastAsia" w:cstheme="minorEastAsia"/>
                <w:sz w:val="21"/>
                <w:szCs w:val="21"/>
              </w:rPr>
              <w:tab/>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8.2.2</w:t>
            </w:r>
          </w:p>
        </w:tc>
        <w:tc>
          <w:tcPr>
            <w:tcW w:w="3959" w:type="pct"/>
            <w:vAlign w:val="center"/>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该公司主要涉及：</w:t>
            </w:r>
          </w:p>
          <w:p>
            <w:pPr>
              <w:rPr>
                <w:sz w:val="20"/>
              </w:rPr>
            </w:pPr>
            <w:bookmarkStart w:id="0" w:name="审核范围"/>
            <w:r>
              <w:rPr>
                <w:sz w:val="20"/>
              </w:rPr>
              <w:t>Q：厨具 、制冷空调设备、厨房专用设备的销售</w:t>
            </w:r>
          </w:p>
          <w:p>
            <w:pPr>
              <w:rPr>
                <w:sz w:val="20"/>
              </w:rPr>
            </w:pPr>
            <w:r>
              <w:rPr>
                <w:sz w:val="20"/>
              </w:rPr>
              <w:t>E：厨具 、制冷空调设备、厨房专用设备的销售及相关环境管理活动</w:t>
            </w:r>
          </w:p>
          <w:p>
            <w:pPr>
              <w:rPr>
                <w:sz w:val="20"/>
              </w:rPr>
            </w:pPr>
            <w:r>
              <w:rPr>
                <w:sz w:val="20"/>
              </w:rPr>
              <w:t>O：厨具 、制冷空调设备、厨房专用设备的销售及相关职业健康安全管理活动</w:t>
            </w:r>
            <w:bookmarkEnd w:id="0"/>
          </w:p>
          <w:p>
            <w:pPr>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该公司主要依据合同法、国家法律法规、环境保护法、环境质量标准等要求进行服务，与产品有关的要求主要体现在与顾客所签定的合同/协议中。</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另外，该公司确定并收集了产品质量法、合同法、地方环保条例等相关法律法规，将其中的相关要求作为与产品有关要求的补充。该公司目前在服务提供过程中没有附加要求。</w:t>
            </w:r>
          </w:p>
        </w:tc>
        <w:tc>
          <w:tcPr>
            <w:tcW w:w="173" w:type="pct"/>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0" w:hRule="atLeast"/>
        </w:trPr>
        <w:tc>
          <w:tcPr>
            <w:tcW w:w="510" w:type="pct"/>
            <w:vAlign w:val="center"/>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与产品和服务要求有关的要求评审</w:t>
            </w:r>
          </w:p>
        </w:tc>
        <w:tc>
          <w:tcPr>
            <w:tcW w:w="356" w:type="pct"/>
            <w:vAlign w:val="center"/>
          </w:tcPr>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Q</w:t>
            </w:r>
          </w:p>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8.2.3</w:t>
            </w:r>
          </w:p>
        </w:tc>
        <w:tc>
          <w:tcPr>
            <w:tcW w:w="3959" w:type="pct"/>
            <w:vAlign w:val="center"/>
          </w:tcPr>
          <w:p>
            <w:pPr>
              <w:spacing w:line="360" w:lineRule="exac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1）公司首先在合同中明确了顾客对技术服务的质量要求及技术标准、价格、交货方式、验收方式、结算方式等明示要求。</w:t>
            </w:r>
          </w:p>
          <w:p>
            <w:pPr>
              <w:spacing w:line="360" w:lineRule="exac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2）确定了技术服务的法律法规要求（技术服务标准等要求）、售后服务等。</w:t>
            </w:r>
          </w:p>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3）该公司与产品有关要求主要在合同中体现，在合同签订之前，由总经理组织各相关部门以会议或会签的方式进行评审。</w:t>
            </w:r>
          </w:p>
          <w:p>
            <w:pPr>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见《合同台帐》，内容包括：序号、合同编号、客户名称、签定日期等。</w:t>
            </w:r>
          </w:p>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抽查销售合同情况</w:t>
            </w:r>
          </w:p>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color w:val="auto"/>
                <w:sz w:val="21"/>
                <w:szCs w:val="21"/>
                <w:highlight w:val="none"/>
              </w:rPr>
              <w:t>抽1：</w:t>
            </w:r>
            <w:r>
              <w:rPr>
                <w:rFonts w:hint="eastAsia" w:asciiTheme="minorEastAsia" w:hAnsiTheme="minorEastAsia" w:eastAsiaTheme="minorEastAsia" w:cstheme="minorEastAsia"/>
                <w:color w:val="auto"/>
                <w:sz w:val="21"/>
                <w:szCs w:val="21"/>
                <w:highlight w:val="none"/>
              </w:rPr>
              <w:t>客户：中国人民大学</w:t>
            </w:r>
          </w:p>
          <w:p>
            <w:pPr>
              <w:tabs>
                <w:tab w:val="left" w:pos="1679"/>
              </w:tabs>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xml:space="preserve">产品名称：燃气大锅灶、燃气单炒单尾灶、调料车、油网烟罩、货物存放架、即开型开水器、四门冰柜、留样冰箱、单槽洗手池、储物柜、燃气蒸柜、洗消间用品、消毒间用品、库房用品、更衣室用品、粗加工车间用品、其他餐厅设备等厨房设备。  </w:t>
            </w:r>
          </w:p>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合同签订时间：2019年10月27日。合同评审时间：2019年10月22日</w:t>
            </w:r>
          </w:p>
          <w:p>
            <w:pPr>
              <w:spacing w:line="360" w:lineRule="exact"/>
              <w:rPr>
                <w:rFonts w:hint="eastAsia" w:asciiTheme="minorEastAsia" w:hAnsiTheme="minorEastAsia" w:eastAsiaTheme="minorEastAsia" w:cstheme="minorEastAsia"/>
                <w:color w:val="auto"/>
                <w:sz w:val="21"/>
                <w:szCs w:val="21"/>
                <w:highlight w:val="none"/>
              </w:rPr>
            </w:pPr>
          </w:p>
          <w:p>
            <w:pPr>
              <w:spacing w:line="360" w:lineRule="exac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color w:val="auto"/>
                <w:sz w:val="21"/>
                <w:szCs w:val="21"/>
                <w:highlight w:val="none"/>
              </w:rPr>
              <w:t>抽2：</w:t>
            </w:r>
            <w:r>
              <w:rPr>
                <w:rFonts w:hint="eastAsia" w:asciiTheme="minorEastAsia" w:hAnsiTheme="minorEastAsia" w:eastAsiaTheme="minorEastAsia" w:cstheme="minorEastAsia"/>
                <w:color w:val="auto"/>
                <w:sz w:val="21"/>
                <w:szCs w:val="21"/>
                <w:highlight w:val="none"/>
              </w:rPr>
              <w:t>客户：首都师范大学</w:t>
            </w:r>
          </w:p>
          <w:p>
            <w:pPr>
              <w:tabs>
                <w:tab w:val="left" w:pos="1679"/>
              </w:tabs>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产品名称：库房用四层平板货架、洗碗间用单门消毒柜、粗加工间用豆浆机、主副食操作间用四头煲仔、电饼铛、餐厅用五格保温柜等厨房设备。</w:t>
            </w:r>
          </w:p>
          <w:p>
            <w:pPr>
              <w:spacing w:line="360" w:lineRule="exac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合同签订时间：2020年5月7日。合同评审时间：2020年5月2日</w:t>
            </w:r>
          </w:p>
          <w:p>
            <w:pPr>
              <w:pStyle w:val="2"/>
              <w:rPr>
                <w:rFonts w:hint="eastAsia" w:asciiTheme="minorEastAsia" w:hAnsiTheme="minorEastAsia" w:eastAsiaTheme="minorEastAsia" w:cstheme="minorEastAsia"/>
                <w:color w:val="auto"/>
                <w:sz w:val="21"/>
                <w:szCs w:val="21"/>
                <w:highlight w:val="none"/>
              </w:rPr>
            </w:pPr>
          </w:p>
          <w:p>
            <w:pPr>
              <w:spacing w:line="360" w:lineRule="exac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color w:val="auto"/>
                <w:sz w:val="21"/>
                <w:szCs w:val="21"/>
                <w:highlight w:val="none"/>
              </w:rPr>
              <w:t>抽3：</w:t>
            </w:r>
            <w:r>
              <w:rPr>
                <w:rFonts w:hint="eastAsia" w:asciiTheme="minorEastAsia" w:hAnsiTheme="minorEastAsia" w:eastAsiaTheme="minorEastAsia" w:cstheme="minorEastAsia"/>
                <w:color w:val="auto"/>
                <w:sz w:val="21"/>
                <w:szCs w:val="21"/>
                <w:highlight w:val="none"/>
              </w:rPr>
              <w:t>客户：北京同德鸿瑞科技有限公司</w:t>
            </w:r>
          </w:p>
          <w:p>
            <w:pPr>
              <w:spacing w:line="360" w:lineRule="exac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产品名称：三门电蒸柜、大锅灶。</w:t>
            </w:r>
          </w:p>
          <w:p>
            <w:pPr>
              <w:spacing w:line="360" w:lineRule="exac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合同签订时间：2019年12月15日。合同评审时间：2019年12月10日</w:t>
            </w:r>
          </w:p>
          <w:p>
            <w:pPr>
              <w:spacing w:line="360" w:lineRule="exact"/>
              <w:rPr>
                <w:rFonts w:hint="eastAsia" w:asciiTheme="minorEastAsia" w:hAnsiTheme="minorEastAsia" w:eastAsiaTheme="minorEastAsia" w:cstheme="minorEastAsia"/>
                <w:color w:val="auto"/>
                <w:sz w:val="21"/>
                <w:szCs w:val="21"/>
                <w:highlight w:val="none"/>
              </w:rPr>
            </w:pPr>
          </w:p>
          <w:p>
            <w:pPr>
              <w:spacing w:line="360" w:lineRule="exac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color w:val="auto"/>
                <w:sz w:val="21"/>
                <w:szCs w:val="21"/>
                <w:highlight w:val="none"/>
              </w:rPr>
              <w:t>抽4：</w:t>
            </w:r>
            <w:r>
              <w:rPr>
                <w:rFonts w:hint="eastAsia" w:asciiTheme="minorEastAsia" w:hAnsiTheme="minorEastAsia" w:eastAsiaTheme="minorEastAsia" w:cstheme="minorEastAsia"/>
                <w:color w:val="auto"/>
                <w:sz w:val="21"/>
                <w:szCs w:val="21"/>
                <w:highlight w:val="none"/>
              </w:rPr>
              <w:t>客户：北京孝善科技服务有限公司</w:t>
            </w:r>
          </w:p>
          <w:p>
            <w:pPr>
              <w:tabs>
                <w:tab w:val="left" w:pos="1679"/>
              </w:tabs>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xml:space="preserve">产品名称：不锈钢夹子、三层送餐推车、保鲜盒、菜墩、拖把、电子秤、电磁炉、调料勺等厨房杂品。   </w:t>
            </w:r>
          </w:p>
          <w:p>
            <w:pPr>
              <w:spacing w:line="360" w:lineRule="exac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合同签订时间：2020年5月21日。合同评审时间：2020年5月16日</w:t>
            </w:r>
          </w:p>
          <w:p>
            <w:pPr>
              <w:pStyle w:val="2"/>
              <w:tabs>
                <w:tab w:val="left" w:pos="6509"/>
              </w:tabs>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以上合同均规定了技术服务内容、双方的权利义务、服务交付</w:t>
            </w:r>
            <w:r>
              <w:rPr>
                <w:rFonts w:hint="eastAsia" w:asciiTheme="minorEastAsia" w:hAnsiTheme="minorEastAsia" w:eastAsiaTheme="minorEastAsia" w:cstheme="minorEastAsia"/>
                <w:color w:val="auto"/>
                <w:kern w:val="0"/>
                <w:sz w:val="21"/>
                <w:szCs w:val="21"/>
                <w:highlight w:val="none"/>
              </w:rPr>
              <w:t>方式等内容</w:t>
            </w:r>
            <w:r>
              <w:rPr>
                <w:rFonts w:hint="eastAsia" w:asciiTheme="minorEastAsia" w:hAnsiTheme="minorEastAsia" w:eastAsiaTheme="minorEastAsia" w:cstheme="minorEastAsia"/>
                <w:color w:val="auto"/>
                <w:sz w:val="21"/>
                <w:szCs w:val="21"/>
                <w:highlight w:val="none"/>
              </w:rPr>
              <w:t>、交付期等内容</w:t>
            </w:r>
            <w:r>
              <w:rPr>
                <w:rFonts w:hint="eastAsia" w:asciiTheme="minorEastAsia" w:hAnsiTheme="minorEastAsia" w:eastAsiaTheme="minorEastAsia" w:cstheme="minorEastAsia"/>
                <w:color w:val="auto"/>
                <w:kern w:val="0"/>
                <w:sz w:val="21"/>
                <w:szCs w:val="21"/>
                <w:highlight w:val="none"/>
              </w:rPr>
              <w:t>，</w:t>
            </w:r>
          </w:p>
          <w:p>
            <w:pPr>
              <w:spacing w:line="360" w:lineRule="exac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顾客要求明确 。</w:t>
            </w:r>
            <w:r>
              <w:rPr>
                <w:rFonts w:hint="eastAsia" w:asciiTheme="minorEastAsia" w:hAnsiTheme="minorEastAsia" w:eastAsiaTheme="minorEastAsia" w:cstheme="minorEastAsia"/>
                <w:color w:val="auto"/>
                <w:kern w:val="0"/>
                <w:sz w:val="21"/>
                <w:szCs w:val="21"/>
                <w:highlight w:val="none"/>
              </w:rPr>
              <w:t>均有双方法人签字和加盖的公章。</w:t>
            </w:r>
          </w:p>
          <w:p>
            <w:pPr>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见以上《合同评审登记表》，评审内容包括  对服务交付方式、交付能力、质量要求等进行了评审，认为可以满足。有总经理签字。同意签订合同。</w:t>
            </w:r>
          </w:p>
        </w:tc>
        <w:tc>
          <w:tcPr>
            <w:tcW w:w="173" w:type="pct"/>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符合</w:t>
            </w: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510" w:type="pct"/>
            <w:vAlign w:val="center"/>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产品和服务要求的变更</w:t>
            </w:r>
          </w:p>
        </w:tc>
        <w:tc>
          <w:tcPr>
            <w:tcW w:w="356" w:type="pct"/>
            <w:vAlign w:val="center"/>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Q</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8.2.4</w:t>
            </w:r>
          </w:p>
        </w:tc>
        <w:tc>
          <w:tcPr>
            <w:tcW w:w="3959" w:type="pct"/>
            <w:vAlign w:val="center"/>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经询问，未发生合同变更及顾客要求发生变更造成与先前合同或订单要求表述存在差异的情况。</w:t>
            </w:r>
          </w:p>
        </w:tc>
        <w:tc>
          <w:tcPr>
            <w:tcW w:w="173" w:type="pct"/>
          </w:tcPr>
          <w:p>
            <w:pP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10" w:type="pct"/>
            <w:vAlign w:val="center"/>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生产和服务提供的控制</w:t>
            </w:r>
          </w:p>
          <w:p>
            <w:pPr>
              <w:pStyle w:val="2"/>
              <w:rPr>
                <w:rFonts w:hint="eastAsia" w:asciiTheme="minorEastAsia" w:hAnsiTheme="minorEastAsia" w:eastAsiaTheme="minorEastAsia" w:cstheme="minorEastAsia"/>
                <w:sz w:val="21"/>
                <w:szCs w:val="21"/>
              </w:rPr>
            </w:pPr>
          </w:p>
          <w:p>
            <w:pPr>
              <w:pStyle w:val="2"/>
              <w:rPr>
                <w:rFonts w:hint="eastAsia" w:asciiTheme="minorEastAsia" w:hAnsiTheme="minorEastAsia" w:eastAsiaTheme="minorEastAsia" w:cstheme="minorEastAsia"/>
                <w:sz w:val="21"/>
                <w:szCs w:val="21"/>
              </w:rPr>
            </w:pPr>
          </w:p>
        </w:tc>
        <w:tc>
          <w:tcPr>
            <w:tcW w:w="356" w:type="pct"/>
            <w:vAlign w:val="center"/>
          </w:tcPr>
          <w:p>
            <w:pP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Q8.5.1</w:t>
            </w:r>
          </w:p>
          <w:p>
            <w:pPr>
              <w:pStyle w:val="2"/>
              <w:rPr>
                <w:rFonts w:hint="eastAsia" w:asciiTheme="minorEastAsia" w:hAnsiTheme="minorEastAsia" w:eastAsiaTheme="minorEastAsia" w:cstheme="minorEastAsia"/>
                <w:sz w:val="21"/>
                <w:szCs w:val="21"/>
                <w:highlight w:val="none"/>
              </w:rPr>
            </w:pPr>
          </w:p>
          <w:p>
            <w:pPr>
              <w:pStyle w:val="2"/>
              <w:rPr>
                <w:rFonts w:hint="eastAsia" w:asciiTheme="minorEastAsia" w:hAnsiTheme="minorEastAsia" w:eastAsiaTheme="minorEastAsia" w:cstheme="minorEastAsia"/>
                <w:sz w:val="21"/>
                <w:szCs w:val="21"/>
                <w:highlight w:val="none"/>
              </w:rPr>
            </w:pPr>
          </w:p>
        </w:tc>
        <w:tc>
          <w:tcPr>
            <w:tcW w:w="3959" w:type="pct"/>
            <w:vAlign w:val="center"/>
          </w:tcPr>
          <w:p>
            <w:pP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《管理手册》中规定了服务过程受控条件。得到工作指标、任务单。</w:t>
            </w:r>
          </w:p>
          <w:p>
            <w:pP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根据项目要求，采购部下达任务单，包括委托单位、项目编号、服务内容、完成时限等。</w:t>
            </w:r>
          </w:p>
          <w:p>
            <w:pP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获得和使用适宜的监视测量资源：对服务质量进行检查、对顾客满意度进行调查，制定对应表格。</w:t>
            </w:r>
          </w:p>
          <w:p>
            <w:pP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抽查过程监视和测量情况，提供了服务过程记录及检验记录。对各工序等过程的监控记录予以控制。</w:t>
            </w:r>
          </w:p>
          <w:p>
            <w:pP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使用适宜的设备和过程环境：有台式电脑、打印机、传真机、展板等办公用品，可以满足工作需要。设备数量保证，维修及时。查见办公</w:t>
            </w:r>
            <w:r>
              <w:rPr>
                <w:rFonts w:hint="eastAsia" w:asciiTheme="minorEastAsia" w:hAnsiTheme="minorEastAsia" w:eastAsiaTheme="minorEastAsia" w:cstheme="minorEastAsia"/>
                <w:sz w:val="21"/>
                <w:szCs w:val="21"/>
                <w:highlight w:val="none"/>
                <w:lang w:eastAsia="zh-CN"/>
              </w:rPr>
              <w:t>远程</w:t>
            </w:r>
            <w:r>
              <w:rPr>
                <w:rFonts w:hint="eastAsia" w:asciiTheme="minorEastAsia" w:hAnsiTheme="minorEastAsia" w:eastAsiaTheme="minorEastAsia" w:cstheme="minorEastAsia"/>
                <w:sz w:val="21"/>
                <w:szCs w:val="21"/>
                <w:highlight w:val="none"/>
              </w:rPr>
              <w:t>宽敞整洁，电脑、传真、打印机及网络运行正常。</w:t>
            </w:r>
          </w:p>
          <w:p>
            <w:pP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指派胜任的人员，包括所要求的资格，见Q7.2记录。</w:t>
            </w:r>
          </w:p>
          <w:p>
            <w:pP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需要确认的过程：编制了《特殊过程确认表》，该公司目前经识别确认的特殊过程为销售服务过程。查见《过程确认表》，对该过程从工作人员能力、设备/设施、作业指导书、工作环境、销售产品等方面进行了确认评价。确认结论：销售服务过程可以保证质量满足要求。确认人：丁健平、马云龙、刘金波  2019.11.10。该特殊过程自确认后，人员、设备、工作流程没有变更发生，无再确认的情况。</w:t>
            </w:r>
          </w:p>
          <w:p>
            <w:pP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通过对客户分类、区域标识，专人负责专项管理，批次归档保存等措施防止人为差错的发生。</w:t>
            </w:r>
            <w:r>
              <w:rPr>
                <w:rFonts w:hint="eastAsia" w:asciiTheme="minorEastAsia" w:hAnsiTheme="minorEastAsia" w:eastAsiaTheme="minorEastAsia" w:cstheme="minorEastAsia"/>
                <w:sz w:val="21"/>
                <w:szCs w:val="21"/>
                <w:highlight w:val="none"/>
              </w:rPr>
              <w:br w:type="textWrapping"/>
            </w:r>
            <w:r>
              <w:rPr>
                <w:rFonts w:hint="eastAsia" w:asciiTheme="minorEastAsia" w:hAnsiTheme="minorEastAsia" w:eastAsiaTheme="minorEastAsia" w:cstheme="minorEastAsia"/>
                <w:sz w:val="21"/>
                <w:szCs w:val="21"/>
                <w:highlight w:val="none"/>
              </w:rPr>
              <w:t>服务完成后通知客户确认，采购部通过电话/网络跟踪沟通及定期拜访等方式确认交付及交付后服务的满意程度，做好售后服务工作，详见Q9.1.2审核记录。</w:t>
            </w:r>
          </w:p>
        </w:tc>
        <w:tc>
          <w:tcPr>
            <w:tcW w:w="173" w:type="pct"/>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10" w:type="pct"/>
          </w:tcPr>
          <w:p>
            <w:pPr>
              <w:spacing w:line="400" w:lineRule="exac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标识和可追溯性</w:t>
            </w:r>
          </w:p>
          <w:p>
            <w:pPr>
              <w:spacing w:line="400" w:lineRule="exac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顾客或外供方财产</w:t>
            </w:r>
          </w:p>
          <w:p>
            <w:pPr>
              <w:pStyle w:val="2"/>
              <w:rPr>
                <w:rFonts w:hint="eastAsia" w:asciiTheme="minorEastAsia" w:hAnsiTheme="minorEastAsia" w:eastAsiaTheme="minorEastAsia" w:cstheme="minorEastAsia"/>
                <w:sz w:val="21"/>
                <w:szCs w:val="21"/>
                <w:highlight w:val="none"/>
              </w:rPr>
            </w:pPr>
          </w:p>
        </w:tc>
        <w:tc>
          <w:tcPr>
            <w:tcW w:w="356" w:type="pct"/>
          </w:tcPr>
          <w:p>
            <w:pPr>
              <w:spacing w:line="400" w:lineRule="exact"/>
              <w:rPr>
                <w:rFonts w:hint="eastAsia" w:asciiTheme="minorEastAsia" w:hAnsiTheme="minorEastAsia" w:eastAsiaTheme="minorEastAsia" w:cstheme="minorEastAsia"/>
                <w:b/>
                <w:kern w:val="0"/>
                <w:sz w:val="21"/>
                <w:szCs w:val="21"/>
                <w:highlight w:val="none"/>
              </w:rPr>
            </w:pPr>
            <w:r>
              <w:rPr>
                <w:rFonts w:hint="eastAsia" w:asciiTheme="minorEastAsia" w:hAnsiTheme="minorEastAsia" w:eastAsiaTheme="minorEastAsia" w:cstheme="minorEastAsia"/>
                <w:b/>
                <w:kern w:val="0"/>
                <w:sz w:val="21"/>
                <w:szCs w:val="21"/>
                <w:highlight w:val="none"/>
              </w:rPr>
              <w:t>Q 8.5.2</w:t>
            </w:r>
          </w:p>
          <w:p>
            <w:pPr>
              <w:spacing w:line="400" w:lineRule="exact"/>
              <w:rPr>
                <w:rFonts w:hint="eastAsia" w:asciiTheme="minorEastAsia" w:hAnsiTheme="minorEastAsia" w:eastAsiaTheme="minorEastAsia" w:cstheme="minorEastAsia"/>
                <w:b/>
                <w:kern w:val="0"/>
                <w:sz w:val="21"/>
                <w:szCs w:val="21"/>
                <w:highlight w:val="none"/>
              </w:rPr>
            </w:pPr>
          </w:p>
          <w:p>
            <w:pPr>
              <w:spacing w:line="400" w:lineRule="exact"/>
              <w:rPr>
                <w:rFonts w:hint="eastAsia" w:asciiTheme="minorEastAsia" w:hAnsiTheme="minorEastAsia" w:eastAsiaTheme="minorEastAsia" w:cstheme="minorEastAsia"/>
                <w:b/>
                <w:sz w:val="21"/>
                <w:szCs w:val="21"/>
                <w:highlight w:val="none"/>
              </w:rPr>
            </w:pPr>
            <w:r>
              <w:rPr>
                <w:rFonts w:hint="eastAsia" w:asciiTheme="minorEastAsia" w:hAnsiTheme="minorEastAsia" w:eastAsiaTheme="minorEastAsia" w:cstheme="minorEastAsia"/>
                <w:b/>
                <w:kern w:val="0"/>
                <w:sz w:val="21"/>
                <w:szCs w:val="21"/>
                <w:highlight w:val="none"/>
              </w:rPr>
              <w:t>Q8</w:t>
            </w:r>
            <w:r>
              <w:rPr>
                <w:rFonts w:hint="eastAsia" w:asciiTheme="minorEastAsia" w:hAnsiTheme="minorEastAsia" w:eastAsiaTheme="minorEastAsia" w:cstheme="minorEastAsia"/>
                <w:b/>
                <w:sz w:val="21"/>
                <w:szCs w:val="21"/>
                <w:highlight w:val="none"/>
              </w:rPr>
              <w:t>.5.3</w:t>
            </w:r>
          </w:p>
          <w:p>
            <w:pPr>
              <w:spacing w:line="400" w:lineRule="exact"/>
              <w:rPr>
                <w:rFonts w:hint="eastAsia" w:asciiTheme="minorEastAsia" w:hAnsiTheme="minorEastAsia" w:eastAsiaTheme="minorEastAsia" w:cstheme="minorEastAsia"/>
                <w:sz w:val="21"/>
                <w:szCs w:val="21"/>
                <w:highlight w:val="none"/>
              </w:rPr>
            </w:pPr>
          </w:p>
        </w:tc>
        <w:tc>
          <w:tcPr>
            <w:tcW w:w="3959" w:type="pct"/>
            <w:vAlign w:val="center"/>
          </w:tcPr>
          <w:p>
            <w:pPr>
              <w:spacing w:line="360" w:lineRule="auto"/>
              <w:ind w:firstLine="420" w:firstLineChars="200"/>
              <w:rPr>
                <w:rFonts w:hint="eastAsia" w:asciiTheme="minorEastAsia" w:hAnsiTheme="minorEastAsia" w:eastAsiaTheme="minorEastAsia" w:cstheme="minorEastAsia"/>
                <w:sz w:val="21"/>
                <w:szCs w:val="21"/>
                <w:highlight w:val="none"/>
                <w:lang w:val="en-GB" w:eastAsia="zh-CN"/>
              </w:rPr>
            </w:pPr>
            <w:r>
              <w:rPr>
                <w:rFonts w:hint="eastAsia" w:asciiTheme="minorEastAsia" w:hAnsiTheme="minorEastAsia" w:eastAsiaTheme="minorEastAsia" w:cstheme="minorEastAsia"/>
                <w:sz w:val="21"/>
                <w:szCs w:val="21"/>
                <w:highlight w:val="none"/>
                <w:lang w:val="en-GB"/>
              </w:rPr>
              <w:t>业务员每次配送商品都要将商品的有关信息进行记录，保持商品在销售及售后的全过程中处于可识别状态，以销售人员在销售文件和资料上的签字或印章为标识,工作人员、销售人员服务质量以销售部经理、公司的考核评价、月检查评定为状态标识。经询问，</w:t>
            </w:r>
            <w:r>
              <w:rPr>
                <w:rFonts w:hint="eastAsia" w:asciiTheme="minorEastAsia" w:hAnsiTheme="minorEastAsia" w:eastAsiaTheme="minorEastAsia" w:cstheme="minorEastAsia"/>
                <w:sz w:val="21"/>
                <w:szCs w:val="21"/>
                <w:highlight w:val="none"/>
                <w:lang w:val="en-GB" w:eastAsia="zh-CN"/>
              </w:rPr>
              <w:t>客户采用自提方式取货。</w:t>
            </w:r>
          </w:p>
          <w:p>
            <w:pPr>
              <w:spacing w:line="360" w:lineRule="auto"/>
              <w:ind w:firstLine="420" w:firstLineChars="200"/>
              <w:rPr>
                <w:rFonts w:hint="eastAsia" w:asciiTheme="minorEastAsia" w:hAnsiTheme="minorEastAsia" w:eastAsiaTheme="minorEastAsia" w:cstheme="minorEastAsia"/>
                <w:sz w:val="21"/>
                <w:szCs w:val="21"/>
                <w:highlight w:val="none"/>
                <w:lang w:val="en-GB"/>
              </w:rPr>
            </w:pPr>
            <w:r>
              <w:rPr>
                <w:rFonts w:hint="eastAsia" w:asciiTheme="minorEastAsia" w:hAnsiTheme="minorEastAsia" w:eastAsiaTheme="minorEastAsia" w:cstheme="minorEastAsia"/>
                <w:sz w:val="21"/>
                <w:szCs w:val="21"/>
                <w:highlight w:val="none"/>
              </w:rPr>
              <w:t>销售部</w:t>
            </w:r>
            <w:r>
              <w:rPr>
                <w:rFonts w:hint="eastAsia" w:asciiTheme="minorEastAsia" w:hAnsiTheme="minorEastAsia" w:eastAsiaTheme="minorEastAsia" w:cstheme="minorEastAsia"/>
                <w:sz w:val="21"/>
                <w:szCs w:val="21"/>
                <w:highlight w:val="none"/>
                <w:lang w:val="en-GB"/>
              </w:rPr>
              <w:t>部负责接收和验证顾客提供的财产，并记录验证结果。</w:t>
            </w:r>
          </w:p>
          <w:p>
            <w:pPr>
              <w:spacing w:line="360" w:lineRule="auto"/>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销售部</w:t>
            </w:r>
            <w:r>
              <w:rPr>
                <w:rFonts w:hint="eastAsia" w:asciiTheme="minorEastAsia" w:hAnsiTheme="minorEastAsia" w:eastAsiaTheme="minorEastAsia" w:cstheme="minorEastAsia"/>
                <w:sz w:val="21"/>
                <w:szCs w:val="21"/>
                <w:highlight w:val="none"/>
                <w:lang w:val="en-GB"/>
              </w:rPr>
              <w:t>负责维护和使用顾客财产，若顾客财产发生丢失、损坏或发现不适用的情况时，应报告顾客，并保持记录。</w:t>
            </w:r>
          </w:p>
        </w:tc>
        <w:tc>
          <w:tcPr>
            <w:tcW w:w="173" w:type="pct"/>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10" w:type="pct"/>
          </w:tcPr>
          <w:p>
            <w:pP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防护</w:t>
            </w:r>
          </w:p>
          <w:p>
            <w:pPr>
              <w:pStyle w:val="2"/>
              <w:rPr>
                <w:rFonts w:hint="eastAsia" w:asciiTheme="minorEastAsia" w:hAnsiTheme="minorEastAsia" w:eastAsiaTheme="minorEastAsia" w:cstheme="minorEastAsia"/>
                <w:sz w:val="21"/>
                <w:szCs w:val="21"/>
                <w:highlight w:val="none"/>
              </w:rPr>
            </w:pPr>
          </w:p>
        </w:tc>
        <w:tc>
          <w:tcPr>
            <w:tcW w:w="356" w:type="pct"/>
          </w:tcPr>
          <w:p>
            <w:pPr>
              <w:pStyle w:val="2"/>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Q8.5.4</w:t>
            </w:r>
          </w:p>
          <w:p>
            <w:pPr>
              <w:spacing w:line="400" w:lineRule="exact"/>
              <w:rPr>
                <w:rFonts w:hint="eastAsia" w:asciiTheme="minorEastAsia" w:hAnsiTheme="minorEastAsia" w:eastAsiaTheme="minorEastAsia" w:cstheme="minorEastAsia"/>
                <w:sz w:val="21"/>
                <w:szCs w:val="21"/>
                <w:highlight w:val="none"/>
              </w:rPr>
            </w:pPr>
          </w:p>
        </w:tc>
        <w:tc>
          <w:tcPr>
            <w:tcW w:w="3959" w:type="pct"/>
            <w:vAlign w:val="center"/>
          </w:tcPr>
          <w:p>
            <w:pPr>
              <w:spacing w:line="360" w:lineRule="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远程审核，</w:t>
            </w:r>
            <w:r>
              <w:rPr>
                <w:rFonts w:hint="eastAsia" w:asciiTheme="minorEastAsia" w:hAnsiTheme="minorEastAsia" w:eastAsiaTheme="minorEastAsia" w:cstheme="minorEastAsia"/>
                <w:sz w:val="21"/>
                <w:szCs w:val="21"/>
                <w:highlight w:val="none"/>
              </w:rPr>
              <w:t>查见办公室电脑、传真、打印机及网络运行正常；</w:t>
            </w:r>
          </w:p>
          <w:p>
            <w:pPr>
              <w:spacing w:line="360" w:lineRule="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color w:val="FF0000"/>
                <w:sz w:val="21"/>
                <w:szCs w:val="21"/>
                <w:highlight w:val="none"/>
                <w:lang w:val="en-US" w:eastAsia="zh-CN"/>
              </w:rPr>
              <w:t>查库房物品的储存，厨具落地摆放，储存防护不符合</w:t>
            </w:r>
            <w:r>
              <w:rPr>
                <w:rFonts w:hint="eastAsia" w:asciiTheme="minorEastAsia" w:hAnsiTheme="minorEastAsia" w:eastAsiaTheme="minorEastAsia" w:cstheme="minorEastAsia"/>
                <w:color w:val="FF0000"/>
                <w:sz w:val="21"/>
                <w:szCs w:val="21"/>
                <w:highlight w:val="none"/>
              </w:rPr>
              <w:t>Q8.5.4</w:t>
            </w:r>
            <w:r>
              <w:rPr>
                <w:rFonts w:hint="eastAsia" w:asciiTheme="minorEastAsia" w:hAnsiTheme="minorEastAsia" w:eastAsiaTheme="minorEastAsia" w:cstheme="minorEastAsia"/>
                <w:color w:val="FF0000"/>
                <w:sz w:val="21"/>
                <w:szCs w:val="21"/>
                <w:highlight w:val="none"/>
                <w:lang w:val="en-US" w:eastAsia="zh-CN"/>
              </w:rPr>
              <w:t>要求</w:t>
            </w:r>
            <w:r>
              <w:rPr>
                <w:rFonts w:hint="eastAsia" w:asciiTheme="minorEastAsia" w:hAnsiTheme="minorEastAsia" w:eastAsiaTheme="minorEastAsia" w:cstheme="minorEastAsia"/>
                <w:sz w:val="21"/>
                <w:szCs w:val="21"/>
                <w:highlight w:val="none"/>
                <w:lang w:val="en-US" w:eastAsia="zh-CN"/>
              </w:rPr>
              <w:t>：即组织应在生产和服务提供期间对输出进行必要的防护，以确保符合要求，</w:t>
            </w:r>
            <w:r>
              <w:rPr>
                <w:rFonts w:hint="default" w:asciiTheme="minorEastAsia" w:hAnsiTheme="minorEastAsia" w:eastAsiaTheme="minorEastAsia" w:cstheme="minorEastAsia"/>
                <w:sz w:val="21"/>
                <w:szCs w:val="21"/>
                <w:highlight w:val="none"/>
                <w:lang w:val="en-US" w:eastAsia="zh-CN"/>
              </w:rPr>
              <w:t>防护可包括标识、处置、污染控制、包装、储存、传输或运输以及保护。</w:t>
            </w:r>
          </w:p>
          <w:p>
            <w:pPr>
              <w:pStyle w:val="2"/>
              <w:rPr>
                <w:rFonts w:hint="eastAsia" w:asciiTheme="minorEastAsia" w:hAnsiTheme="minorEastAsia" w:eastAsiaTheme="minorEastAsia" w:cstheme="minorEastAsia"/>
                <w:sz w:val="21"/>
                <w:szCs w:val="21"/>
                <w:highlight w:val="none"/>
              </w:rPr>
            </w:pPr>
            <w:r>
              <w:drawing>
                <wp:inline distT="0" distB="0" distL="114300" distR="114300">
                  <wp:extent cx="1779905" cy="1407795"/>
                  <wp:effectExtent l="0" t="0" r="10795" b="1905"/>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6"/>
                          <a:stretch>
                            <a:fillRect/>
                          </a:stretch>
                        </pic:blipFill>
                        <pic:spPr>
                          <a:xfrm>
                            <a:off x="0" y="0"/>
                            <a:ext cx="1779905" cy="1407795"/>
                          </a:xfrm>
                          <a:prstGeom prst="rect">
                            <a:avLst/>
                          </a:prstGeom>
                          <a:noFill/>
                          <a:ln>
                            <a:noFill/>
                          </a:ln>
                        </pic:spPr>
                      </pic:pic>
                    </a:graphicData>
                  </a:graphic>
                </wp:inline>
              </w:drawing>
            </w:r>
          </w:p>
        </w:tc>
        <w:tc>
          <w:tcPr>
            <w:tcW w:w="173" w:type="pct"/>
          </w:tcPr>
          <w:p>
            <w:pPr>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color w:val="FF0000"/>
                <w:sz w:val="21"/>
                <w:szCs w:val="21"/>
                <w:lang w:val="en-US" w:eastAsia="zh-CN"/>
              </w:rPr>
              <w:t>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7" w:hRule="atLeast"/>
        </w:trPr>
        <w:tc>
          <w:tcPr>
            <w:tcW w:w="510" w:type="pct"/>
            <w:vAlign w:val="center"/>
          </w:tcPr>
          <w:p>
            <w:pP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交付后的活动</w:t>
            </w:r>
          </w:p>
          <w:p>
            <w:pPr>
              <w:rPr>
                <w:rFonts w:hint="eastAsia" w:asciiTheme="minorEastAsia" w:hAnsiTheme="minorEastAsia" w:eastAsiaTheme="minorEastAsia" w:cstheme="minorEastAsia"/>
                <w:sz w:val="21"/>
                <w:szCs w:val="21"/>
                <w:highlight w:val="none"/>
              </w:rPr>
            </w:pPr>
          </w:p>
        </w:tc>
        <w:tc>
          <w:tcPr>
            <w:tcW w:w="356" w:type="pct"/>
            <w:vAlign w:val="center"/>
          </w:tcPr>
          <w:p>
            <w:pP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Q8.5.5</w:t>
            </w:r>
          </w:p>
          <w:p>
            <w:pPr>
              <w:rPr>
                <w:rFonts w:hint="eastAsia" w:asciiTheme="minorEastAsia" w:hAnsiTheme="minorEastAsia" w:eastAsiaTheme="minorEastAsia" w:cstheme="minorEastAsia"/>
                <w:sz w:val="21"/>
                <w:szCs w:val="21"/>
                <w:highlight w:val="none"/>
              </w:rPr>
            </w:pPr>
          </w:p>
        </w:tc>
        <w:tc>
          <w:tcPr>
            <w:tcW w:w="3959" w:type="pct"/>
            <w:vAlign w:val="center"/>
          </w:tcPr>
          <w:p>
            <w:pP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GB"/>
              </w:rPr>
              <w:t>该公司交付后主要是配合客户做好验收工作、进行技术指导，同时跟踪项目进度、顾客回访、顾客反馈、顾客满意度调查等形式进行。与该部门负责人交流，该公司主动联系及跟踪生产厂家对客户的服务工作，定期回访，无不满意情况发生，但未保留相关记录，体系运行至今无顾客不良反馈。</w:t>
            </w:r>
          </w:p>
        </w:tc>
        <w:tc>
          <w:tcPr>
            <w:tcW w:w="173" w:type="pct"/>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trPr>
        <w:tc>
          <w:tcPr>
            <w:tcW w:w="510" w:type="pct"/>
            <w:vAlign w:val="center"/>
          </w:tcPr>
          <w:p>
            <w:pPr>
              <w:rPr>
                <w:rFonts w:hint="eastAsia" w:asciiTheme="minorEastAsia" w:hAnsiTheme="minorEastAsia" w:eastAsiaTheme="minorEastAsia" w:cstheme="minorEastAsia"/>
                <w:sz w:val="21"/>
                <w:szCs w:val="21"/>
                <w:lang w:val="en-GB"/>
              </w:rPr>
            </w:pPr>
            <w:r>
              <w:rPr>
                <w:rFonts w:hint="eastAsia" w:asciiTheme="minorEastAsia" w:hAnsiTheme="minorEastAsia" w:eastAsiaTheme="minorEastAsia" w:cstheme="minorEastAsia"/>
                <w:sz w:val="21"/>
                <w:szCs w:val="21"/>
                <w:lang w:val="en-GB"/>
              </w:rPr>
              <w:t>更改的控制</w:t>
            </w:r>
          </w:p>
          <w:p>
            <w:pPr>
              <w:rPr>
                <w:rFonts w:hint="eastAsia" w:asciiTheme="minorEastAsia" w:hAnsiTheme="minorEastAsia" w:eastAsiaTheme="minorEastAsia" w:cstheme="minorEastAsia"/>
                <w:sz w:val="21"/>
                <w:szCs w:val="21"/>
              </w:rPr>
            </w:pPr>
          </w:p>
        </w:tc>
        <w:tc>
          <w:tcPr>
            <w:tcW w:w="356" w:type="pct"/>
            <w:vAlign w:val="center"/>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Q8.5.6</w:t>
            </w:r>
          </w:p>
          <w:p>
            <w:pPr>
              <w:rPr>
                <w:rFonts w:hint="eastAsia" w:asciiTheme="minorEastAsia" w:hAnsiTheme="minorEastAsia" w:eastAsiaTheme="minorEastAsia" w:cstheme="minorEastAsia"/>
                <w:sz w:val="21"/>
                <w:szCs w:val="21"/>
              </w:rPr>
            </w:pPr>
          </w:p>
        </w:tc>
        <w:tc>
          <w:tcPr>
            <w:tcW w:w="3959" w:type="pct"/>
            <w:vAlign w:val="center"/>
          </w:tcPr>
          <w:p>
            <w:pPr>
              <w:rPr>
                <w:rFonts w:hint="eastAsia" w:asciiTheme="minorEastAsia" w:hAnsiTheme="minorEastAsia" w:eastAsiaTheme="minorEastAsia" w:cstheme="minorEastAsia"/>
                <w:sz w:val="21"/>
                <w:szCs w:val="21"/>
                <w:lang w:val="en-GB"/>
              </w:rPr>
            </w:pPr>
            <w:r>
              <w:rPr>
                <w:rFonts w:hint="eastAsia" w:asciiTheme="minorEastAsia" w:hAnsiTheme="minorEastAsia" w:eastAsiaTheme="minorEastAsia" w:cstheme="minorEastAsia"/>
                <w:sz w:val="21"/>
                <w:szCs w:val="21"/>
                <w:lang w:val="en-GB"/>
              </w:rPr>
              <w:t>组织应对销售合同的更改进行评审，以确保稳定的符合要求。</w:t>
            </w:r>
          </w:p>
          <w:p>
            <w:pPr>
              <w:rPr>
                <w:rFonts w:hint="eastAsia" w:asciiTheme="minorEastAsia" w:hAnsiTheme="minorEastAsia" w:eastAsiaTheme="minorEastAsia" w:cstheme="minorEastAsia"/>
                <w:sz w:val="21"/>
                <w:szCs w:val="21"/>
                <w:lang w:val="en-GB"/>
              </w:rPr>
            </w:pPr>
            <w:r>
              <w:rPr>
                <w:rFonts w:hint="eastAsia" w:asciiTheme="minorEastAsia" w:hAnsiTheme="minorEastAsia" w:eastAsiaTheme="minorEastAsia" w:cstheme="minorEastAsia"/>
                <w:sz w:val="21"/>
                <w:szCs w:val="21"/>
                <w:lang w:val="en-GB"/>
              </w:rPr>
              <w:t>组织应保留形成文件的信息，包括有关更改评审结果、授权进行更改的人员以及根据评审所采取的必要措施。</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GB"/>
              </w:rPr>
              <w:t>经询问，体系运行至今无更改情况发生。</w:t>
            </w:r>
          </w:p>
        </w:tc>
        <w:tc>
          <w:tcPr>
            <w:tcW w:w="173" w:type="pct"/>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10" w:type="pct"/>
            <w:vAlign w:val="center"/>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沟通、参与、协商</w:t>
            </w:r>
          </w:p>
        </w:tc>
        <w:tc>
          <w:tcPr>
            <w:tcW w:w="356" w:type="pct"/>
            <w:vAlign w:val="center"/>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QEO</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7.4</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O5.4</w:t>
            </w:r>
          </w:p>
        </w:tc>
        <w:tc>
          <w:tcPr>
            <w:tcW w:w="3959" w:type="pct"/>
            <w:vAlign w:val="center"/>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通过信息联络单、口头、电话、网络、办公会议等方式进行内部沟通，通过宣贯培训让员工充分认识到质量、环境、职业健康安全体系的要求。对外部相关方进行信息的交流方式：通过文件传真、接收通知、</w:t>
            </w:r>
            <w:r>
              <w:rPr>
                <w:rFonts w:hint="eastAsia" w:asciiTheme="minorEastAsia" w:hAnsiTheme="minorEastAsia" w:eastAsiaTheme="minorEastAsia" w:cstheme="minorEastAsia"/>
                <w:sz w:val="21"/>
                <w:szCs w:val="21"/>
                <w:lang w:eastAsia="zh-CN"/>
              </w:rPr>
              <w:t>远程</w:t>
            </w:r>
            <w:r>
              <w:rPr>
                <w:rFonts w:hint="eastAsia" w:asciiTheme="minorEastAsia" w:hAnsiTheme="minorEastAsia" w:eastAsiaTheme="minorEastAsia" w:cstheme="minorEastAsia"/>
                <w:sz w:val="21"/>
                <w:szCs w:val="21"/>
              </w:rPr>
              <w:t>交流、合同协议、上网、施加影响等方式沟通协商。内部、外部沟通协商的机制已建立运行，基本有效。</w:t>
            </w:r>
          </w:p>
        </w:tc>
        <w:tc>
          <w:tcPr>
            <w:tcW w:w="173" w:type="pct"/>
          </w:tcPr>
          <w:p>
            <w:pP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10" w:type="pct"/>
            <w:vAlign w:val="center"/>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采购过程及控制类型和程度、</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外部供方的信息</w:t>
            </w:r>
          </w:p>
        </w:tc>
        <w:tc>
          <w:tcPr>
            <w:tcW w:w="356" w:type="pct"/>
            <w:vAlign w:val="center"/>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Q</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8.4</w:t>
            </w:r>
          </w:p>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O8.1.4</w:t>
            </w:r>
          </w:p>
        </w:tc>
        <w:tc>
          <w:tcPr>
            <w:tcW w:w="3959" w:type="pct"/>
            <w:vAlign w:val="center"/>
          </w:tcPr>
          <w:p>
            <w:pPr>
              <w:rPr>
                <w:rFonts w:hint="eastAsia" w:eastAsia="宋体"/>
                <w:lang w:eastAsia="zh-CN"/>
              </w:rPr>
            </w:pPr>
            <w:r>
              <w:rPr>
                <w:rFonts w:hint="eastAsia"/>
              </w:rPr>
              <w:t>在《外部提供过程控制程序 TTZT  -CX-8.4-05》中规定了供方选择评价和重新评价的方法和准则</w:t>
            </w:r>
            <w:r>
              <w:rPr>
                <w:rFonts w:hint="eastAsia"/>
                <w:lang w:eastAsia="zh-CN"/>
              </w:rPr>
              <w:t>。</w:t>
            </w:r>
          </w:p>
          <w:p>
            <w:pPr>
              <w:rPr>
                <w:rFonts w:hint="eastAsia"/>
              </w:rPr>
            </w:pPr>
            <w:r>
              <w:rPr>
                <w:rFonts w:hint="eastAsia"/>
              </w:rPr>
              <w:t>查阅了《合格供方名单》，抽查如下：</w:t>
            </w:r>
          </w:p>
          <w:p>
            <w:pPr>
              <w:rPr>
                <w:rFonts w:hint="eastAsia"/>
              </w:rPr>
            </w:pPr>
            <w:r>
              <w:rPr>
                <w:rFonts w:hint="eastAsia"/>
              </w:rPr>
              <w:t>序号</w:t>
            </w:r>
            <w:r>
              <w:rPr>
                <w:rFonts w:hint="eastAsia"/>
              </w:rPr>
              <w:tab/>
            </w:r>
            <w:r>
              <w:rPr>
                <w:rFonts w:hint="eastAsia"/>
              </w:rPr>
              <w:t>供方名称</w:t>
            </w:r>
            <w:r>
              <w:rPr>
                <w:rFonts w:hint="eastAsia"/>
              </w:rPr>
              <w:tab/>
            </w:r>
            <w:r>
              <w:rPr>
                <w:rFonts w:hint="eastAsia"/>
              </w:rPr>
              <w:t xml:space="preserve">                     提供产品名称</w:t>
            </w:r>
            <w:r>
              <w:rPr>
                <w:rFonts w:hint="eastAsia"/>
              </w:rPr>
              <w:tab/>
            </w:r>
            <w:r>
              <w:rPr>
                <w:rFonts w:hint="eastAsia"/>
              </w:rPr>
              <w:t xml:space="preserve">                                          </w:t>
            </w:r>
          </w:p>
          <w:p>
            <w:pPr>
              <w:rPr>
                <w:rFonts w:hint="eastAsia"/>
              </w:rPr>
            </w:pPr>
            <w:r>
              <w:rPr>
                <w:rFonts w:hint="eastAsia"/>
              </w:rPr>
              <w:t>北京春凯龙建筑安装工程有限公司</w:t>
            </w:r>
            <w:r>
              <w:rPr>
                <w:rFonts w:hint="eastAsia"/>
              </w:rPr>
              <w:tab/>
            </w:r>
            <w:r>
              <w:rPr>
                <w:rFonts w:hint="eastAsia"/>
              </w:rPr>
              <w:t xml:space="preserve">      油烟净化器、排烟风机、排烟罩、装饰板、排烟管道、净化器等</w:t>
            </w:r>
          </w:p>
          <w:p>
            <w:pPr>
              <w:rPr>
                <w:rFonts w:hint="eastAsia"/>
              </w:rPr>
            </w:pPr>
            <w:r>
              <w:rPr>
                <w:rFonts w:hint="eastAsia"/>
              </w:rPr>
              <w:t>北京尚丰祥食品机械有限公司</w:t>
            </w:r>
            <w:r>
              <w:rPr>
                <w:rFonts w:hint="eastAsia"/>
              </w:rPr>
              <w:tab/>
            </w:r>
            <w:r>
              <w:rPr>
                <w:rFonts w:hint="eastAsia"/>
              </w:rPr>
              <w:t xml:space="preserve">          去皮机</w:t>
            </w:r>
          </w:p>
          <w:p>
            <w:pPr>
              <w:rPr>
                <w:rFonts w:hint="eastAsia"/>
              </w:rPr>
            </w:pPr>
            <w:r>
              <w:rPr>
                <w:rFonts w:hint="eastAsia"/>
              </w:rPr>
              <w:t>香河鑫鑫节能炉具厂                     200型燃气蒸箱、四眼风气连动焊接炮台灶、两眼鼓风灶、直径1000大锅灶等</w:t>
            </w:r>
            <w:r>
              <w:rPr>
                <w:rFonts w:hint="eastAsia"/>
                <w:lang w:eastAsia="zh-CN"/>
              </w:rPr>
              <w:t>；</w:t>
            </w:r>
          </w:p>
          <w:p>
            <w:pPr>
              <w:ind w:firstLine="420" w:firstLineChars="200"/>
              <w:rPr>
                <w:rFonts w:hint="default"/>
                <w:lang w:val="en-US" w:eastAsia="zh-CN"/>
              </w:rPr>
            </w:pPr>
            <w:r>
              <w:rPr>
                <w:rFonts w:hint="eastAsia"/>
              </w:rPr>
              <w:t xml:space="preserve">技术部裴迪 </w:t>
            </w:r>
            <w:r>
              <w:rPr>
                <w:rFonts w:hint="eastAsia"/>
                <w:lang w:eastAsia="zh-CN"/>
              </w:rPr>
              <w:t>、</w:t>
            </w:r>
            <w:r>
              <w:rPr>
                <w:rFonts w:hint="eastAsia"/>
              </w:rPr>
              <w:t>综合部刘金波</w:t>
            </w:r>
            <w:r>
              <w:rPr>
                <w:rFonts w:hint="eastAsia"/>
                <w:lang w:eastAsia="zh-CN"/>
              </w:rPr>
              <w:t>、总经理</w:t>
            </w:r>
            <w:r>
              <w:rPr>
                <w:rFonts w:hint="eastAsia"/>
              </w:rPr>
              <w:t>丁健平</w:t>
            </w:r>
            <w:r>
              <w:rPr>
                <w:rFonts w:hint="eastAsia"/>
                <w:lang w:eastAsia="zh-CN"/>
              </w:rPr>
              <w:t>等，于</w:t>
            </w:r>
            <w:r>
              <w:rPr>
                <w:rFonts w:hint="eastAsia"/>
                <w:lang w:val="en-US" w:eastAsia="zh-CN"/>
              </w:rPr>
              <w:t>2020年1月份，对上述供方进行了评价，</w:t>
            </w:r>
            <w:r>
              <w:rPr>
                <w:rFonts w:hint="eastAsia"/>
              </w:rPr>
              <w:t>通过调查供方的质量保证能力如：经营合法性、产品质量、质量保证能力、价格、交货、服务、质量管理体系等方面进行评价。</w:t>
            </w:r>
            <w:r>
              <w:rPr>
                <w:rFonts w:hint="eastAsia"/>
                <w:lang w:val="en-US" w:eastAsia="zh-CN"/>
              </w:rPr>
              <w:t>纳入2020年度合格供方。</w:t>
            </w:r>
          </w:p>
        </w:tc>
        <w:tc>
          <w:tcPr>
            <w:tcW w:w="173" w:type="pct"/>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10" w:type="pct"/>
            <w:vAlign w:val="center"/>
          </w:tcPr>
          <w:p>
            <w:pPr>
              <w:rPr>
                <w:rFonts w:hint="eastAsia" w:asciiTheme="minorEastAsia" w:hAnsiTheme="minorEastAsia" w:eastAsiaTheme="minorEastAsia" w:cstheme="minorEastAsia"/>
                <w:sz w:val="21"/>
                <w:szCs w:val="21"/>
                <w:highlight w:val="none"/>
                <w:lang w:val="en-GB"/>
              </w:rPr>
            </w:pPr>
            <w:r>
              <w:rPr>
                <w:rFonts w:hint="eastAsia" w:asciiTheme="minorEastAsia" w:hAnsiTheme="minorEastAsia" w:eastAsiaTheme="minorEastAsia" w:cstheme="minorEastAsia"/>
                <w:sz w:val="21"/>
                <w:szCs w:val="21"/>
                <w:highlight w:val="none"/>
                <w:lang w:val="en-GB"/>
              </w:rPr>
              <w:t>产品和服务的放行</w:t>
            </w:r>
          </w:p>
          <w:p>
            <w:pPr>
              <w:rPr>
                <w:rFonts w:hint="eastAsia" w:asciiTheme="minorEastAsia" w:hAnsiTheme="minorEastAsia" w:eastAsiaTheme="minorEastAsia" w:cstheme="minorEastAsia"/>
                <w:sz w:val="21"/>
                <w:szCs w:val="21"/>
                <w:highlight w:val="none"/>
              </w:rPr>
            </w:pPr>
          </w:p>
        </w:tc>
        <w:tc>
          <w:tcPr>
            <w:tcW w:w="356" w:type="pct"/>
            <w:vAlign w:val="center"/>
          </w:tcPr>
          <w:p>
            <w:pP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Q8.6</w:t>
            </w:r>
          </w:p>
          <w:p>
            <w:pPr>
              <w:rPr>
                <w:rFonts w:hint="eastAsia" w:asciiTheme="minorEastAsia" w:hAnsiTheme="minorEastAsia" w:eastAsiaTheme="minorEastAsia" w:cstheme="minorEastAsia"/>
                <w:sz w:val="21"/>
                <w:szCs w:val="21"/>
                <w:highlight w:val="none"/>
              </w:rPr>
            </w:pPr>
          </w:p>
        </w:tc>
        <w:tc>
          <w:tcPr>
            <w:tcW w:w="3959" w:type="pct"/>
            <w:vAlign w:val="center"/>
          </w:tcPr>
          <w:p>
            <w:pP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GB"/>
              </w:rPr>
              <w:t>公司产品和服务的放行，需得到</w:t>
            </w:r>
            <w:r>
              <w:rPr>
                <w:rFonts w:hint="eastAsia" w:asciiTheme="minorEastAsia" w:hAnsiTheme="minorEastAsia" w:eastAsiaTheme="minorEastAsia" w:cstheme="minorEastAsia"/>
                <w:sz w:val="21"/>
                <w:szCs w:val="21"/>
                <w:highlight w:val="none"/>
              </w:rPr>
              <w:t>销售部</w:t>
            </w:r>
            <w:r>
              <w:rPr>
                <w:rFonts w:hint="eastAsia" w:asciiTheme="minorEastAsia" w:hAnsiTheme="minorEastAsia" w:eastAsiaTheme="minorEastAsia" w:cstheme="minorEastAsia"/>
                <w:sz w:val="21"/>
                <w:szCs w:val="21"/>
                <w:highlight w:val="none"/>
                <w:lang w:val="en-GB"/>
              </w:rPr>
              <w:t>经理的批准后放行。</w:t>
            </w:r>
            <w:r>
              <w:rPr>
                <w:rFonts w:hint="eastAsia" w:asciiTheme="minorEastAsia" w:hAnsiTheme="minorEastAsia" w:eastAsiaTheme="minorEastAsia" w:cstheme="minorEastAsia"/>
                <w:sz w:val="21"/>
                <w:szCs w:val="21"/>
                <w:highlight w:val="none"/>
              </w:rPr>
              <w:t>。</w:t>
            </w:r>
          </w:p>
          <w:p>
            <w:pPr>
              <w:pStyle w:val="2"/>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1、采购产品验收：</w:t>
            </w:r>
          </w:p>
          <w:p>
            <w:pP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抽1： 采购物资验证记录2020年4月25日</w:t>
            </w:r>
          </w:p>
          <w:p>
            <w:pPr>
              <w:pStyle w:val="2"/>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物资名称：四门碗柜、双掩门残食台、热风循环消毒柜、保险工作台、三星水池、调料台、热水器等；</w:t>
            </w:r>
          </w:p>
          <w:p>
            <w:pP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验证项目：查包装、产品外观、气味、重量/数量、合格证、检测报告等。</w:t>
            </w:r>
          </w:p>
          <w:p>
            <w:pP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结论：合格   检验员：关红</w:t>
            </w:r>
          </w:p>
          <w:p>
            <w:pP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 xml:space="preserve"> </w:t>
            </w:r>
          </w:p>
          <w:p>
            <w:pP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抽2： 采购物资验证记录2020年5月25日</w:t>
            </w:r>
          </w:p>
          <w:p>
            <w:pPr>
              <w:pStyle w:val="2"/>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 xml:space="preserve">物资名称：200型燃气蒸箱、四眼风气连动焊接炮台灶、单炒单温拉伸炮台风气连动气灶、两眼鼓风灶、直径1000大锅灶、两眼中餐灶等； </w:t>
            </w:r>
          </w:p>
          <w:p>
            <w:pP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验证项目：查包装、产品外观、气味、重量/数量、合格证、检测报告等。</w:t>
            </w:r>
          </w:p>
          <w:p>
            <w:pP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结论：合格   检验员：丁健平</w:t>
            </w:r>
          </w:p>
          <w:p>
            <w:pPr>
              <w:pStyle w:val="2"/>
              <w:rPr>
                <w:rFonts w:hint="eastAsia" w:asciiTheme="minorEastAsia" w:hAnsiTheme="minorEastAsia" w:eastAsiaTheme="minorEastAsia" w:cstheme="minorEastAsia"/>
                <w:sz w:val="21"/>
                <w:szCs w:val="21"/>
                <w:highlight w:val="none"/>
              </w:rPr>
            </w:pPr>
          </w:p>
          <w:p>
            <w:pP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办公室确定需要实施采购的任务，编制采购计划，经批准实施采购。公司已建立、保持与合格供方信息反馈渠道，及时沟通、保持协调，有良好的互惠关系；采购信息充分、可靠，采购产品的要求明确、适宜。</w:t>
            </w:r>
          </w:p>
          <w:p>
            <w:pP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查看“2020年4月采购计划”，包括序号、采购物品名、单位、计划数量、期初数、采购数量、计划到货日期、技术要求及验收标准、期末等内容，采购信息基本明确。</w:t>
            </w:r>
          </w:p>
          <w:p>
            <w:pPr>
              <w:pStyle w:val="2"/>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抽：采购产品入库单及销售出库单，如下</w:t>
            </w:r>
          </w:p>
          <w:p>
            <w:pPr>
              <w:pStyle w:val="2"/>
              <w:jc w:val="left"/>
              <w:rPr>
                <w:rFonts w:hint="default"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rPr>
              <w:drawing>
                <wp:anchor distT="0" distB="0" distL="114300" distR="114300" simplePos="0" relativeHeight="251658240" behindDoc="0" locked="0" layoutInCell="1" allowOverlap="1">
                  <wp:simplePos x="0" y="0"/>
                  <wp:positionH relativeFrom="column">
                    <wp:posOffset>1633855</wp:posOffset>
                  </wp:positionH>
                  <wp:positionV relativeFrom="paragraph">
                    <wp:posOffset>-1322070</wp:posOffset>
                  </wp:positionV>
                  <wp:extent cx="1891665" cy="4779645"/>
                  <wp:effectExtent l="0" t="0" r="1905" b="13335"/>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rot="5400000">
                            <a:off x="0" y="0"/>
                            <a:ext cx="1891665" cy="4779645"/>
                          </a:xfrm>
                          <a:prstGeom prst="rect">
                            <a:avLst/>
                          </a:prstGeom>
                          <a:noFill/>
                          <a:ln>
                            <a:noFill/>
                          </a:ln>
                        </pic:spPr>
                      </pic:pic>
                    </a:graphicData>
                  </a:graphic>
                </wp:anchor>
              </w:drawing>
            </w:r>
            <w:r>
              <w:rPr>
                <w:rFonts w:hint="eastAsia" w:asciiTheme="minorEastAsia" w:hAnsiTheme="minorEastAsia" w:eastAsiaTheme="minorEastAsia" w:cstheme="minorEastAsia"/>
                <w:sz w:val="21"/>
                <w:szCs w:val="21"/>
                <w:highlight w:val="none"/>
                <w:lang w:val="en-US" w:eastAsia="zh-CN"/>
              </w:rPr>
              <w:t xml:space="preserve">   </w:t>
            </w:r>
          </w:p>
          <w:p>
            <w:pPr>
              <w:pStyle w:val="2"/>
              <w:rPr>
                <w:rFonts w:hint="eastAsia" w:asciiTheme="minorEastAsia" w:hAnsiTheme="minorEastAsia" w:eastAsiaTheme="minorEastAsia" w:cstheme="minorEastAsia"/>
                <w:sz w:val="21"/>
                <w:szCs w:val="21"/>
                <w:highlight w:val="none"/>
              </w:rPr>
            </w:pPr>
          </w:p>
          <w:p>
            <w:pPr>
              <w:pStyle w:val="2"/>
              <w:rPr>
                <w:rFonts w:hint="eastAsia" w:asciiTheme="minorEastAsia" w:hAnsiTheme="minorEastAsia" w:eastAsiaTheme="minorEastAsia" w:cstheme="minorEastAsia"/>
                <w:sz w:val="21"/>
                <w:szCs w:val="21"/>
                <w:highlight w:val="none"/>
              </w:rPr>
            </w:pPr>
          </w:p>
          <w:p>
            <w:pPr>
              <w:pStyle w:val="2"/>
              <w:rPr>
                <w:rFonts w:hint="eastAsia" w:asciiTheme="minorEastAsia" w:hAnsiTheme="minorEastAsia" w:eastAsiaTheme="minorEastAsia" w:cstheme="minorEastAsia"/>
                <w:sz w:val="21"/>
                <w:szCs w:val="21"/>
                <w:highlight w:val="none"/>
              </w:rPr>
            </w:pPr>
          </w:p>
          <w:p>
            <w:pPr>
              <w:pStyle w:val="2"/>
              <w:rPr>
                <w:rFonts w:hint="eastAsia" w:asciiTheme="minorEastAsia" w:hAnsiTheme="minorEastAsia" w:eastAsiaTheme="minorEastAsia" w:cstheme="minorEastAsia"/>
                <w:sz w:val="21"/>
                <w:szCs w:val="21"/>
                <w:highlight w:val="none"/>
              </w:rPr>
            </w:pPr>
          </w:p>
          <w:p>
            <w:pPr>
              <w:pStyle w:val="2"/>
              <w:rPr>
                <w:rFonts w:hint="eastAsia" w:asciiTheme="minorEastAsia" w:hAnsiTheme="minorEastAsia" w:eastAsiaTheme="minorEastAsia" w:cstheme="minorEastAsia"/>
                <w:sz w:val="21"/>
                <w:szCs w:val="21"/>
                <w:highlight w:val="none"/>
              </w:rPr>
            </w:pPr>
          </w:p>
          <w:p>
            <w:pPr>
              <w:pStyle w:val="2"/>
              <w:rPr>
                <w:rFonts w:hint="eastAsia" w:asciiTheme="minorEastAsia" w:hAnsiTheme="minorEastAsia" w:eastAsiaTheme="minorEastAsia" w:cstheme="minorEastAsia"/>
                <w:sz w:val="21"/>
                <w:szCs w:val="21"/>
                <w:highlight w:val="none"/>
              </w:rPr>
            </w:pPr>
          </w:p>
          <w:p>
            <w:pPr>
              <w:pStyle w:val="2"/>
              <w:rPr>
                <w:rFonts w:hint="eastAsia" w:asciiTheme="minorEastAsia" w:hAnsiTheme="minorEastAsia" w:eastAsiaTheme="minorEastAsia" w:cstheme="minorEastAsia"/>
                <w:sz w:val="21"/>
                <w:szCs w:val="21"/>
                <w:highlight w:val="none"/>
              </w:rPr>
            </w:pPr>
          </w:p>
          <w:p>
            <w:pPr>
              <w:pStyle w:val="2"/>
              <w:rPr>
                <w:rFonts w:hint="eastAsia" w:asciiTheme="minorEastAsia" w:hAnsiTheme="minorEastAsia" w:eastAsiaTheme="minorEastAsia" w:cstheme="minorEastAsia"/>
                <w:sz w:val="21"/>
                <w:szCs w:val="21"/>
                <w:highlight w:val="none"/>
              </w:rPr>
            </w:pPr>
          </w:p>
          <w:p>
            <w:pPr>
              <w:pStyle w:val="2"/>
              <w:rPr>
                <w:rFonts w:hint="eastAsia" w:asciiTheme="minorEastAsia" w:hAnsiTheme="minorEastAsia" w:eastAsiaTheme="minorEastAsia" w:cstheme="minorEastAsia"/>
                <w:sz w:val="21"/>
                <w:szCs w:val="21"/>
                <w:highlight w:val="none"/>
              </w:rPr>
            </w:pPr>
          </w:p>
          <w:p>
            <w:pPr>
              <w:pStyle w:val="2"/>
              <w:rPr>
                <w:rFonts w:hint="eastAsia" w:asciiTheme="minorEastAsia" w:hAnsiTheme="minorEastAsia" w:eastAsiaTheme="minorEastAsia" w:cstheme="minorEastAsia"/>
                <w:sz w:val="21"/>
                <w:szCs w:val="21"/>
                <w:highlight w:val="none"/>
              </w:rPr>
            </w:pPr>
          </w:p>
          <w:p>
            <w:pP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2、服务过程控制</w:t>
            </w:r>
          </w:p>
          <w:p>
            <w:pP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——提供了2019.11.27销售服务检查记录表，内容包括员工、办公场所、客户沟通、供货方沟通、文件记录、收发货、售后及技术服务等，检查人员：马云龙、丁同安 ；</w:t>
            </w:r>
          </w:p>
          <w:p>
            <w:pP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3）查产品交付</w:t>
            </w:r>
          </w:p>
          <w:p>
            <w:pP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——服务完成后有客户确认，提供有客户确认的验收</w:t>
            </w:r>
            <w:r>
              <w:rPr>
                <w:rFonts w:hint="eastAsia" w:asciiTheme="minorEastAsia" w:hAnsiTheme="minorEastAsia" w:eastAsiaTheme="minorEastAsia" w:cstheme="minorEastAsia"/>
                <w:sz w:val="21"/>
                <w:szCs w:val="21"/>
                <w:highlight w:val="none"/>
                <w:lang w:eastAsia="zh-CN"/>
              </w:rPr>
              <w:t>记录</w:t>
            </w:r>
            <w:r>
              <w:rPr>
                <w:rFonts w:hint="eastAsia" w:asciiTheme="minorEastAsia" w:hAnsiTheme="minorEastAsia" w:eastAsiaTheme="minorEastAsia" w:cstheme="minorEastAsia"/>
                <w:sz w:val="21"/>
                <w:szCs w:val="21"/>
                <w:highlight w:val="none"/>
              </w:rPr>
              <w:t xml:space="preserve">。    </w:t>
            </w:r>
          </w:p>
        </w:tc>
        <w:tc>
          <w:tcPr>
            <w:tcW w:w="173" w:type="pct"/>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10" w:type="pct"/>
            <w:vAlign w:val="center"/>
          </w:tcPr>
          <w:p>
            <w:pP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不合格控制</w:t>
            </w:r>
          </w:p>
        </w:tc>
        <w:tc>
          <w:tcPr>
            <w:tcW w:w="356" w:type="pct"/>
            <w:vAlign w:val="center"/>
          </w:tcPr>
          <w:p>
            <w:pP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Q8.7</w:t>
            </w:r>
          </w:p>
        </w:tc>
        <w:tc>
          <w:tcPr>
            <w:tcW w:w="3959" w:type="pct"/>
            <w:vAlign w:val="center"/>
          </w:tcPr>
          <w:p>
            <w:pP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编制了《不合格品控制程序》，内容符合标准要求。</w:t>
            </w:r>
          </w:p>
          <w:p>
            <w:pP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对不合格品处置的方式包括：返工返修、让步接收、报废。</w:t>
            </w:r>
          </w:p>
          <w:p>
            <w:pPr>
              <w:pStyle w:val="2"/>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自体系运行以来未发生过不合格情况，如以后有不合格情况，则按照不合格品控制程序。</w:t>
            </w:r>
          </w:p>
        </w:tc>
        <w:tc>
          <w:tcPr>
            <w:tcW w:w="173" w:type="pct"/>
          </w:tcPr>
          <w:p>
            <w:pPr>
              <w:rPr>
                <w:rFonts w:hint="eastAsia" w:asciiTheme="minorEastAsia" w:hAnsiTheme="minorEastAsia" w:eastAsiaTheme="minorEastAsia" w:cstheme="minorEastAsia"/>
                <w:color w:val="FF0000"/>
                <w:sz w:val="21"/>
                <w:szCs w:val="21"/>
                <w:highlight w:val="none"/>
              </w:rPr>
            </w:pPr>
            <w:r>
              <w:rPr>
                <w:rFonts w:hint="eastAsia" w:asciiTheme="minorEastAsia" w:hAnsiTheme="minorEastAsia" w:eastAsiaTheme="minorEastAsia" w:cstheme="minorEastAsia"/>
                <w:color w:val="FF0000"/>
                <w:sz w:val="21"/>
                <w:szCs w:val="21"/>
                <w:highlight w:val="none"/>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trPr>
        <w:tc>
          <w:tcPr>
            <w:tcW w:w="510" w:type="pct"/>
            <w:vAlign w:val="center"/>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顾客满意度</w:t>
            </w:r>
          </w:p>
        </w:tc>
        <w:tc>
          <w:tcPr>
            <w:tcW w:w="356" w:type="pct"/>
            <w:vAlign w:val="center"/>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Q</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9.1.2</w:t>
            </w:r>
          </w:p>
        </w:tc>
        <w:tc>
          <w:tcPr>
            <w:tcW w:w="3959" w:type="pct"/>
            <w:vAlign w:val="center"/>
          </w:tcPr>
          <w:p>
            <w:pPr>
              <w:rPr>
                <w:rFonts w:hint="eastAsia" w:asciiTheme="minorEastAsia" w:hAnsiTheme="minorEastAsia" w:eastAsiaTheme="minorEastAsia" w:cstheme="minorEastAsia"/>
                <w:sz w:val="21"/>
                <w:szCs w:val="21"/>
                <w:lang w:val="zh-CN"/>
              </w:rPr>
            </w:pPr>
            <w:r>
              <w:rPr>
                <w:rFonts w:hint="eastAsia" w:asciiTheme="minorEastAsia" w:hAnsiTheme="minorEastAsia" w:eastAsiaTheme="minorEastAsia" w:cstheme="minorEastAsia"/>
                <w:sz w:val="21"/>
                <w:szCs w:val="21"/>
                <w:lang w:val="zh-CN"/>
              </w:rPr>
              <w:t>公司通过电话，走访等形式，接受顾客反馈，了解顾客满意度信息，发放调查表对顾客满意度进行定量测量。</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zh-CN"/>
              </w:rPr>
              <w:t>提供“满意程度调查表”，调查主要内容：</w:t>
            </w:r>
            <w:r>
              <w:rPr>
                <w:rFonts w:hint="eastAsia" w:asciiTheme="minorEastAsia" w:hAnsiTheme="minorEastAsia" w:eastAsiaTheme="minorEastAsia" w:cstheme="minorEastAsia"/>
                <w:sz w:val="21"/>
                <w:szCs w:val="21"/>
              </w:rPr>
              <w:t>质量、价格、交货期、支持服务、售后服务等方面的满意程度</w:t>
            </w:r>
            <w:r>
              <w:rPr>
                <w:rFonts w:hint="eastAsia" w:asciiTheme="minorEastAsia" w:hAnsiTheme="minorEastAsia" w:eastAsiaTheme="minorEastAsia" w:cstheme="minorEastAsia"/>
                <w:sz w:val="21"/>
                <w:szCs w:val="21"/>
                <w:lang w:val="zh-CN"/>
              </w:rPr>
              <w:t>等，</w:t>
            </w:r>
            <w:r>
              <w:rPr>
                <w:rFonts w:hint="eastAsia" w:asciiTheme="minorEastAsia" w:hAnsiTheme="minorEastAsia" w:eastAsiaTheme="minorEastAsia" w:cstheme="minorEastAsia"/>
                <w:sz w:val="21"/>
                <w:szCs w:val="21"/>
              </w:rPr>
              <w:t>各项得分求平均值得最终结果</w:t>
            </w:r>
            <w:r>
              <w:rPr>
                <w:rFonts w:hint="eastAsia" w:asciiTheme="minorEastAsia" w:hAnsiTheme="minorEastAsia" w:eastAsiaTheme="minorEastAsia" w:cstheme="minorEastAsia"/>
                <w:sz w:val="21"/>
                <w:szCs w:val="21"/>
                <w:lang w:val="zh-CN"/>
              </w:rPr>
              <w:t>。</w:t>
            </w:r>
            <w:r>
              <w:rPr>
                <w:rFonts w:hint="eastAsia" w:asciiTheme="minorEastAsia" w:hAnsiTheme="minorEastAsia" w:eastAsiaTheme="minorEastAsia" w:cstheme="minorEastAsia"/>
                <w:sz w:val="21"/>
                <w:szCs w:val="21"/>
              </w:rPr>
              <w:t>提供顾客满意调查分析。最终顾客满意率100%。该结果已提交管理评审。</w:t>
            </w:r>
          </w:p>
          <w:p>
            <w:pPr>
              <w:pStyle w:val="2"/>
              <w:rPr>
                <w:rFonts w:hint="eastAsia" w:asciiTheme="minorEastAsia" w:hAnsiTheme="minorEastAsia" w:eastAsiaTheme="minorEastAsia" w:cstheme="minorEastAsia"/>
                <w:sz w:val="21"/>
                <w:szCs w:val="21"/>
              </w:rPr>
            </w:pPr>
          </w:p>
        </w:tc>
        <w:tc>
          <w:tcPr>
            <w:tcW w:w="173" w:type="pct"/>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7" w:hRule="atLeast"/>
        </w:trPr>
        <w:tc>
          <w:tcPr>
            <w:tcW w:w="1516" w:type="dxa"/>
          </w:tcPr>
          <w:p>
            <w:pPr>
              <w:spacing w:line="400" w:lineRule="exact"/>
              <w:jc w:val="left"/>
              <w:rPr>
                <w:rFonts w:hint="eastAsia" w:asciiTheme="minorEastAsia" w:hAnsiTheme="minorEastAsia" w:eastAsiaTheme="minorEastAsia" w:cstheme="minorEastAsia"/>
                <w:sz w:val="21"/>
                <w:szCs w:val="21"/>
                <w:highlight w:val="none"/>
              </w:rPr>
            </w:pPr>
            <w:r>
              <w:rPr>
                <w:rStyle w:val="8"/>
                <w:rFonts w:hint="eastAsia" w:asciiTheme="minorEastAsia" w:hAnsiTheme="minorEastAsia" w:eastAsiaTheme="minorEastAsia" w:cstheme="minorEastAsia"/>
                <w:sz w:val="21"/>
                <w:szCs w:val="21"/>
                <w:highlight w:val="none"/>
              </w:rPr>
              <w:t>事件、不符合和纠正措施</w:t>
            </w:r>
          </w:p>
        </w:tc>
        <w:tc>
          <w:tcPr>
            <w:tcW w:w="1060" w:type="dxa"/>
          </w:tcPr>
          <w:p>
            <w:pP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
                <w:bCs/>
                <w:sz w:val="21"/>
                <w:szCs w:val="21"/>
                <w:highlight w:val="none"/>
              </w:rPr>
              <w:t>QEO10.2</w:t>
            </w:r>
          </w:p>
        </w:tc>
        <w:tc>
          <w:tcPr>
            <w:tcW w:w="11754" w:type="dxa"/>
          </w:tcPr>
          <w:p>
            <w:pPr>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企业经过策划、过程的监视和测量、绩效考核、内审、管理评审等方式和机制，确保质量管理制度有效执行。制定监视和测量控制程序、不符合、纠正和预防措施控制程序、事故调查处理控制程序等，通过分析实际存在的或潜在的不符合的原因，制定纠正和预防措施，并验证其效果，以防止不符合的发生／再发生，实现持续改进绩效的目的。</w:t>
            </w:r>
          </w:p>
          <w:p>
            <w:pPr>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内审中发现</w:t>
            </w:r>
            <w:r>
              <w:rPr>
                <w:rFonts w:hint="eastAsia" w:asciiTheme="minorEastAsia" w:hAnsiTheme="minorEastAsia" w:eastAsiaTheme="minorEastAsia" w:cstheme="minorEastAsia"/>
                <w:sz w:val="21"/>
                <w:szCs w:val="21"/>
                <w:highlight w:val="none"/>
                <w:lang w:eastAsia="zh-CN"/>
              </w:rPr>
              <w:t>的</w:t>
            </w:r>
            <w:r>
              <w:rPr>
                <w:rFonts w:hint="eastAsia" w:asciiTheme="minorEastAsia" w:hAnsiTheme="minorEastAsia" w:eastAsiaTheme="minorEastAsia" w:cstheme="minorEastAsia"/>
                <w:sz w:val="21"/>
                <w:szCs w:val="21"/>
                <w:highlight w:val="none"/>
              </w:rPr>
              <w:t xml:space="preserve">不符合，采取了纠正措施，并验证； </w:t>
            </w:r>
          </w:p>
          <w:p>
            <w:pPr>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为保证公司职业健康安全管理体系的有效运行，通过对安全事件的调查处理，以确保管理体系运行的有效性。</w:t>
            </w:r>
          </w:p>
          <w:p>
            <w:pPr>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公司生产及销售活动未发生过环境、安全等事故。</w:t>
            </w:r>
          </w:p>
          <w:p>
            <w:pPr>
              <w:pStyle w:val="2"/>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 xml:space="preserve">   查持续改进：a. 通过管理体系运行，管理方针、目标的实施，内审、管理评审进行持续改进；b. 通过数据分析、纠正、预防措施实施达到持续改进；c. 通过顾客满意度调查，改进、提高产品质量，满足顾客需求，达到持续改进的目的。</w:t>
            </w:r>
          </w:p>
          <w:p>
            <w:pPr>
              <w:rPr>
                <w:rFonts w:hint="eastAsia" w:asciiTheme="minorEastAsia" w:hAnsiTheme="minorEastAsia" w:eastAsiaTheme="minorEastAsia" w:cstheme="minorEastAsia"/>
                <w:sz w:val="21"/>
                <w:szCs w:val="21"/>
                <w:highlight w:val="none"/>
                <w:lang w:val="zh-CN"/>
              </w:rPr>
            </w:pPr>
            <w:r>
              <w:rPr>
                <w:rFonts w:hint="eastAsia" w:asciiTheme="minorEastAsia" w:hAnsiTheme="minorEastAsia" w:eastAsiaTheme="minorEastAsia" w:cstheme="minorEastAsia"/>
                <w:sz w:val="21"/>
                <w:szCs w:val="21"/>
                <w:highlight w:val="none"/>
              </w:rPr>
              <w:t>管理评审提出改进措施正在实施过程中。</w:t>
            </w:r>
          </w:p>
        </w:tc>
        <w:tc>
          <w:tcPr>
            <w:tcW w:w="173" w:type="pct"/>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6" w:hRule="atLeast"/>
        </w:trPr>
        <w:tc>
          <w:tcPr>
            <w:tcW w:w="510" w:type="pct"/>
            <w:vAlign w:val="center"/>
          </w:tcPr>
          <w:p>
            <w:pP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运行控制（查看销售部办公室及库房）&amp;</w:t>
            </w:r>
          </w:p>
          <w:p>
            <w:pPr>
              <w:pStyle w:val="2"/>
              <w:rPr>
                <w:rFonts w:hint="eastAsia" w:asciiTheme="minorEastAsia" w:hAnsiTheme="minorEastAsia" w:eastAsiaTheme="minorEastAsia" w:cstheme="minorEastAsia"/>
                <w:sz w:val="21"/>
                <w:szCs w:val="21"/>
                <w:highlight w:val="none"/>
              </w:rPr>
            </w:pPr>
          </w:p>
        </w:tc>
        <w:tc>
          <w:tcPr>
            <w:tcW w:w="356" w:type="pct"/>
            <w:vAlign w:val="center"/>
          </w:tcPr>
          <w:p>
            <w:pP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EO8.1</w:t>
            </w:r>
          </w:p>
          <w:p>
            <w:pPr>
              <w:pStyle w:val="2"/>
              <w:rPr>
                <w:rFonts w:hint="eastAsia" w:asciiTheme="minorEastAsia" w:hAnsiTheme="minorEastAsia" w:eastAsiaTheme="minorEastAsia" w:cstheme="minorEastAsia"/>
                <w:sz w:val="21"/>
                <w:szCs w:val="21"/>
                <w:highlight w:val="none"/>
              </w:rPr>
            </w:pPr>
          </w:p>
          <w:p>
            <w:pPr>
              <w:rPr>
                <w:rFonts w:hint="eastAsia" w:asciiTheme="minorEastAsia" w:hAnsiTheme="minorEastAsia" w:eastAsiaTheme="minorEastAsia" w:cstheme="minorEastAsia"/>
                <w:sz w:val="21"/>
                <w:szCs w:val="21"/>
                <w:highlight w:val="none"/>
              </w:rPr>
            </w:pPr>
          </w:p>
        </w:tc>
        <w:tc>
          <w:tcPr>
            <w:tcW w:w="3959" w:type="pct"/>
            <w:vAlign w:val="center"/>
          </w:tcPr>
          <w:p>
            <w:pPr>
              <w:rPr>
                <w:rFonts w:hint="eastAsia"/>
                <w:lang w:val="zh-CN"/>
              </w:rPr>
            </w:pPr>
            <w:r>
              <w:rPr>
                <w:rFonts w:hint="eastAsia"/>
                <w:lang w:val="zh-CN"/>
              </w:rPr>
              <w:t>本部门执行的运行控制文件包括：</w:t>
            </w:r>
          </w:p>
          <w:p>
            <w:pPr>
              <w:rPr>
                <w:rFonts w:hint="eastAsia"/>
                <w:lang w:val="zh-CN"/>
              </w:rPr>
            </w:pPr>
            <w:r>
              <w:rPr>
                <w:rFonts w:hint="eastAsia"/>
                <w:lang w:val="zh-CN"/>
              </w:rPr>
              <w:t>废弃物管理程序TTZT -CX-8.1-14</w:t>
            </w:r>
          </w:p>
          <w:p>
            <w:pPr>
              <w:rPr>
                <w:rFonts w:hint="eastAsia"/>
                <w:lang w:val="zh-CN"/>
              </w:rPr>
            </w:pPr>
            <w:r>
              <w:rPr>
                <w:rFonts w:hint="eastAsia"/>
                <w:lang w:val="zh-CN"/>
              </w:rPr>
              <w:t>资源能源控制程序TTZT -CX-7.1-15</w:t>
            </w:r>
          </w:p>
          <w:p>
            <w:pPr>
              <w:rPr>
                <w:rFonts w:hint="eastAsia"/>
                <w:lang w:val="zh-CN"/>
              </w:rPr>
            </w:pPr>
            <w:r>
              <w:rPr>
                <w:rFonts w:hint="eastAsia"/>
                <w:lang w:val="zh-CN"/>
              </w:rPr>
              <w:t>职工健康管理程序TTZT -CX-6.2-16</w:t>
            </w:r>
          </w:p>
          <w:p>
            <w:pPr>
              <w:rPr>
                <w:rFonts w:hint="eastAsia"/>
                <w:lang w:val="zh-CN"/>
              </w:rPr>
            </w:pPr>
            <w:r>
              <w:rPr>
                <w:rFonts w:hint="eastAsia"/>
                <w:lang w:val="zh-CN"/>
              </w:rPr>
              <w:t>环境监测和测量管理程序</w:t>
            </w:r>
            <w:r>
              <w:rPr>
                <w:rFonts w:hint="eastAsia"/>
                <w:lang w:val="zh-CN"/>
              </w:rPr>
              <w:tab/>
            </w:r>
            <w:r>
              <w:rPr>
                <w:rFonts w:hint="eastAsia"/>
                <w:lang w:val="zh-CN"/>
              </w:rPr>
              <w:t>TTZT -CX-9.1.1-17</w:t>
            </w:r>
          </w:p>
          <w:p>
            <w:pPr>
              <w:rPr>
                <w:rFonts w:hint="eastAsia"/>
                <w:lang w:val="zh-CN"/>
              </w:rPr>
            </w:pPr>
            <w:r>
              <w:rPr>
                <w:rFonts w:hint="eastAsia"/>
                <w:lang w:val="zh-CN"/>
              </w:rPr>
              <w:t>职业健康安全绩效测量和监视管理程序TTZT -CX-9.1-18等。</w:t>
            </w:r>
          </w:p>
          <w:p>
            <w:pPr>
              <w:rPr>
                <w:rFonts w:hint="eastAsia"/>
                <w:lang w:val="zh-CN"/>
              </w:rPr>
            </w:pPr>
            <w:r>
              <w:rPr>
                <w:rFonts w:hint="eastAsia"/>
                <w:lang w:val="zh-CN"/>
              </w:rPr>
              <w:t>运行控制情况：</w:t>
            </w:r>
          </w:p>
          <w:p>
            <w:pPr>
              <w:rPr>
                <w:rFonts w:hint="eastAsia"/>
                <w:lang w:val="zh-CN"/>
              </w:rPr>
            </w:pPr>
            <w:r>
              <w:rPr>
                <w:rFonts w:hint="eastAsia"/>
                <w:lang w:val="zh-CN"/>
              </w:rPr>
              <w:t>1、办公室区域：生活污水排放至城市管网。噪声：办公远程不产生明显噪声。</w:t>
            </w:r>
          </w:p>
          <w:p>
            <w:pPr>
              <w:rPr>
                <w:rFonts w:hint="eastAsia"/>
                <w:lang w:val="zh-CN"/>
              </w:rPr>
            </w:pPr>
            <w:r>
              <w:rPr>
                <w:rFonts w:hint="eastAsia"/>
                <w:lang w:val="zh-CN"/>
              </w:rPr>
              <w:t>固废：固体废物主要是生活垃圾，交由环卫处理；办公用纸由办公室负责，复印、打印耗材都有办公室统一负责，集中处置。</w:t>
            </w:r>
          </w:p>
          <w:p>
            <w:pPr>
              <w:rPr>
                <w:rFonts w:hint="eastAsia"/>
                <w:lang w:val="zh-CN"/>
              </w:rPr>
            </w:pPr>
            <w:r>
              <w:rPr>
                <w:rFonts w:hint="eastAsia"/>
                <w:lang w:val="zh-CN"/>
              </w:rPr>
              <w:t>2、办公过程注意节约用电，做到人走灯灭，电脑长时间不用时关机，下班前要关闭电源，防止触电。</w:t>
            </w:r>
          </w:p>
          <w:p>
            <w:pPr>
              <w:rPr>
                <w:rFonts w:hint="eastAsia"/>
                <w:lang w:val="zh-CN"/>
              </w:rPr>
            </w:pPr>
            <w:r>
              <w:rPr>
                <w:rFonts w:hint="eastAsia"/>
                <w:lang w:val="zh-CN"/>
              </w:rPr>
              <w:t>3、办公区域禁止吸烟，查看办公区域环境整洁、宽敞、办公设备状态良好、无安全隐患。</w:t>
            </w:r>
          </w:p>
          <w:p>
            <w:pPr>
              <w:rPr>
                <w:rFonts w:hint="eastAsia"/>
                <w:lang w:val="zh-CN"/>
              </w:rPr>
            </w:pPr>
            <w:r>
              <w:rPr>
                <w:rFonts w:hint="eastAsia"/>
              </w:rPr>
              <w:t>4. 空调定时、定温控制，遵守公司的《节约资源规定》。</w:t>
            </w:r>
          </w:p>
          <w:p>
            <w:pPr>
              <w:rPr>
                <w:rFonts w:hint="eastAsia"/>
                <w:lang w:val="zh-CN"/>
              </w:rPr>
            </w:pPr>
            <w:r>
              <w:rPr>
                <w:rFonts w:hint="eastAsia"/>
              </w:rPr>
              <w:t>5</w:t>
            </w:r>
            <w:r>
              <w:rPr>
                <w:rFonts w:hint="eastAsia"/>
                <w:lang w:val="zh-CN"/>
              </w:rPr>
              <w:t>、工作时间平均每天不超过8小时。</w:t>
            </w:r>
          </w:p>
          <w:p>
            <w:pPr>
              <w:rPr>
                <w:rFonts w:hint="eastAsia"/>
                <w:lang w:val="zh-CN"/>
              </w:rPr>
            </w:pPr>
            <w:r>
              <w:rPr>
                <w:rFonts w:hint="eastAsia"/>
              </w:rPr>
              <w:t>6</w:t>
            </w:r>
            <w:r>
              <w:rPr>
                <w:rFonts w:hint="eastAsia"/>
                <w:lang w:val="zh-CN"/>
              </w:rPr>
              <w:t>、查看办公区域，整洁、光线充足、室内空气良好，办公条件较好，办公设备安全状态良好，教育员工正确使用办公设备，规范用电，无乱拉线现象，防止火灾发生。</w:t>
            </w:r>
          </w:p>
          <w:p>
            <w:pPr>
              <w:rPr>
                <w:rFonts w:hint="default" w:eastAsiaTheme="minorEastAsia"/>
                <w:lang w:val="en-US" w:eastAsia="zh-CN"/>
              </w:rPr>
            </w:pPr>
            <w:r>
              <w:rPr>
                <w:rFonts w:hint="eastAsia"/>
                <w:lang w:val="zh-CN"/>
              </w:rPr>
              <w:t>7、相关方施加影响：公司能够控制或能够施加影响的相关方有顾客等。提供了“致相关方的公开信”，将公司的环境/安全控制要求发放</w:t>
            </w:r>
            <w:r>
              <w:rPr>
                <w:rFonts w:hint="eastAsia"/>
              </w:rPr>
              <w:t>给</w:t>
            </w:r>
            <w:r>
              <w:rPr>
                <w:rFonts w:hint="eastAsia"/>
                <w:lang w:val="zh-CN"/>
              </w:rPr>
              <w:t>相关方，督促影响各相关方按照环境/安全管理体系要求对环境/安全施加影响。在与顾客沟通和招投标时，通过选择适当时机向顾客宣传本公司的管理方针理念以及本公司的具体做法、成绩等，向顾客施加环境、职业健康安全的影响，增强顾客对本公司的信任程度。</w:t>
            </w:r>
          </w:p>
        </w:tc>
        <w:tc>
          <w:tcPr>
            <w:tcW w:w="173" w:type="pct"/>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 w:hRule="atLeast"/>
        </w:trPr>
        <w:tc>
          <w:tcPr>
            <w:tcW w:w="510" w:type="pct"/>
            <w:vAlign w:val="center"/>
          </w:tcPr>
          <w:p>
            <w:pPr>
              <w:pStyle w:val="2"/>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应急准备和响应</w:t>
            </w:r>
          </w:p>
        </w:tc>
        <w:tc>
          <w:tcPr>
            <w:tcW w:w="356" w:type="pct"/>
            <w:vAlign w:val="center"/>
          </w:tcPr>
          <w:p>
            <w:pP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EO8.2</w:t>
            </w:r>
          </w:p>
        </w:tc>
        <w:tc>
          <w:tcPr>
            <w:tcW w:w="3959" w:type="pct"/>
            <w:vAlign w:val="center"/>
          </w:tcPr>
          <w:p>
            <w:pPr>
              <w:pStyle w:val="2"/>
              <w:rPr>
                <w:rFonts w:hint="eastAsia" w:asciiTheme="minorEastAsia" w:hAnsiTheme="minorEastAsia" w:eastAsiaTheme="minorEastAsia" w:cstheme="minorEastAsia"/>
                <w:sz w:val="21"/>
                <w:szCs w:val="21"/>
                <w:highlight w:val="none"/>
              </w:rPr>
            </w:pPr>
            <w:r>
              <w:drawing>
                <wp:anchor distT="0" distB="0" distL="114300" distR="114300" simplePos="0" relativeHeight="251659264" behindDoc="0" locked="0" layoutInCell="1" allowOverlap="1">
                  <wp:simplePos x="0" y="0"/>
                  <wp:positionH relativeFrom="column">
                    <wp:posOffset>3596005</wp:posOffset>
                  </wp:positionH>
                  <wp:positionV relativeFrom="paragraph">
                    <wp:posOffset>208915</wp:posOffset>
                  </wp:positionV>
                  <wp:extent cx="600710" cy="1083310"/>
                  <wp:effectExtent l="0" t="0" r="8890" b="2540"/>
                  <wp:wrapNone/>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8"/>
                          <a:srcRect l="27246" t="3616"/>
                          <a:stretch>
                            <a:fillRect/>
                          </a:stretch>
                        </pic:blipFill>
                        <pic:spPr>
                          <a:xfrm>
                            <a:off x="0" y="0"/>
                            <a:ext cx="600710" cy="1083310"/>
                          </a:xfrm>
                          <a:prstGeom prst="rect">
                            <a:avLst/>
                          </a:prstGeom>
                          <a:noFill/>
                          <a:ln>
                            <a:noFill/>
                          </a:ln>
                        </pic:spPr>
                      </pic:pic>
                    </a:graphicData>
                  </a:graphic>
                </wp:anchor>
              </w:drawing>
            </w:r>
            <w:r>
              <w:rPr>
                <w:rFonts w:hint="eastAsia" w:asciiTheme="minorEastAsia" w:hAnsiTheme="minorEastAsia" w:eastAsiaTheme="minorEastAsia" w:cstheme="minorEastAsia"/>
                <w:sz w:val="21"/>
                <w:szCs w:val="21"/>
                <w:highlight w:val="none"/>
                <w:lang w:eastAsia="zh-CN"/>
              </w:rPr>
              <w:t>销售部</w:t>
            </w:r>
            <w:r>
              <w:rPr>
                <w:rFonts w:hint="eastAsia" w:asciiTheme="minorEastAsia" w:hAnsiTheme="minorEastAsia" w:eastAsiaTheme="minorEastAsia" w:cstheme="minorEastAsia"/>
                <w:sz w:val="21"/>
                <w:szCs w:val="21"/>
                <w:highlight w:val="none"/>
              </w:rPr>
              <w:t>执行《</w:t>
            </w:r>
            <w:r>
              <w:rPr>
                <w:rFonts w:hint="eastAsia" w:asciiTheme="minorEastAsia" w:hAnsiTheme="minorEastAsia" w:eastAsiaTheme="minorEastAsia" w:cstheme="minorEastAsia"/>
                <w:sz w:val="21"/>
                <w:szCs w:val="21"/>
                <w:highlight w:val="none"/>
                <w:lang w:val="zh-CN"/>
              </w:rPr>
              <w:t>应急准备和响应</w:t>
            </w:r>
            <w:r>
              <w:rPr>
                <w:rFonts w:hint="eastAsia" w:asciiTheme="minorEastAsia" w:hAnsiTheme="minorEastAsia" w:eastAsiaTheme="minorEastAsia" w:cstheme="minorEastAsia"/>
                <w:sz w:val="21"/>
                <w:szCs w:val="21"/>
                <w:highlight w:val="none"/>
              </w:rPr>
              <w:t>控制</w:t>
            </w:r>
            <w:r>
              <w:rPr>
                <w:rFonts w:hint="eastAsia" w:asciiTheme="minorEastAsia" w:hAnsiTheme="minorEastAsia" w:eastAsiaTheme="minorEastAsia" w:cstheme="minorEastAsia"/>
                <w:sz w:val="21"/>
                <w:szCs w:val="21"/>
                <w:highlight w:val="none"/>
                <w:lang w:val="zh-CN"/>
              </w:rPr>
              <w:t>程序</w:t>
            </w:r>
            <w:r>
              <w:rPr>
                <w:rFonts w:hint="eastAsia" w:asciiTheme="minorEastAsia" w:hAnsiTheme="minorEastAsia" w:eastAsiaTheme="minorEastAsia" w:cstheme="minorEastAsia"/>
                <w:sz w:val="21"/>
                <w:szCs w:val="21"/>
                <w:highlight w:val="none"/>
              </w:rPr>
              <w:t>》，参加了公司组织消防演练，相关记录详见</w:t>
            </w:r>
            <w:r>
              <w:rPr>
                <w:rFonts w:hint="eastAsia" w:asciiTheme="minorEastAsia" w:hAnsiTheme="minorEastAsia" w:eastAsiaTheme="minorEastAsia" w:cstheme="minorEastAsia"/>
                <w:sz w:val="21"/>
                <w:szCs w:val="21"/>
                <w:highlight w:val="none"/>
                <w:lang w:eastAsia="zh-CN"/>
              </w:rPr>
              <w:t>综合部</w:t>
            </w:r>
            <w:r>
              <w:rPr>
                <w:rFonts w:hint="eastAsia" w:asciiTheme="minorEastAsia" w:hAnsiTheme="minorEastAsia" w:eastAsiaTheme="minorEastAsia" w:cstheme="minorEastAsia"/>
                <w:sz w:val="21"/>
                <w:szCs w:val="21"/>
                <w:highlight w:val="none"/>
              </w:rPr>
              <w:t>相关条款。</w:t>
            </w:r>
          </w:p>
          <w:p>
            <w:pPr>
              <w:pStyle w:val="2"/>
              <w:ind w:firstLine="460" w:firstLineChars="200"/>
              <w:rPr>
                <w:rFonts w:hint="eastAsia" w:eastAsia="方正仿宋简体"/>
                <w:b/>
                <w:lang w:val="en-US" w:eastAsia="zh-CN"/>
              </w:rPr>
            </w:pPr>
            <w:r>
              <w:rPr>
                <w:rFonts w:hint="eastAsia" w:asciiTheme="minorEastAsia" w:hAnsiTheme="minorEastAsia" w:eastAsiaTheme="minorEastAsia" w:cstheme="minorEastAsia"/>
                <w:sz w:val="21"/>
                <w:szCs w:val="21"/>
                <w:highlight w:val="none"/>
                <w:lang w:val="en-US" w:eastAsia="zh-CN"/>
              </w:rPr>
              <w:t>查销售部库房，</w:t>
            </w:r>
            <w:r>
              <w:rPr>
                <w:rFonts w:hint="eastAsia" w:eastAsia="方正仿宋简体"/>
                <w:b/>
                <w:lang w:val="en-US" w:eastAsia="zh-CN"/>
              </w:rPr>
              <w:t>消防设备放置未定置定位存放。</w:t>
            </w:r>
          </w:p>
          <w:p>
            <w:pPr>
              <w:pStyle w:val="2"/>
              <w:ind w:firstLine="462" w:firstLineChars="200"/>
              <w:rPr>
                <w:rFonts w:hint="eastAsia" w:eastAsia="方正仿宋简体"/>
                <w:b/>
                <w:lang w:val="en-US" w:eastAsia="zh-CN"/>
              </w:rPr>
            </w:pPr>
          </w:p>
          <w:p>
            <w:pPr>
              <w:pStyle w:val="2"/>
              <w:ind w:firstLine="462" w:firstLineChars="200"/>
              <w:rPr>
                <w:rFonts w:hint="eastAsia" w:eastAsia="方正仿宋简体"/>
                <w:b/>
                <w:lang w:val="en-US" w:eastAsia="zh-CN"/>
              </w:rPr>
            </w:pPr>
          </w:p>
          <w:p>
            <w:pPr>
              <w:pStyle w:val="2"/>
              <w:ind w:firstLine="462" w:firstLineChars="200"/>
              <w:rPr>
                <w:rFonts w:hint="eastAsia" w:eastAsia="方正仿宋简体"/>
                <w:b/>
                <w:lang w:val="en-US" w:eastAsia="zh-CN"/>
              </w:rPr>
            </w:pPr>
          </w:p>
          <w:p>
            <w:pPr>
              <w:pStyle w:val="2"/>
              <w:rPr>
                <w:rFonts w:hint="eastAsia" w:eastAsia="方正仿宋简体"/>
                <w:b/>
                <w:lang w:val="en-US" w:eastAsia="zh-CN"/>
              </w:rPr>
            </w:pPr>
          </w:p>
          <w:p>
            <w:pPr>
              <w:pStyle w:val="2"/>
              <w:ind w:firstLine="462" w:firstLineChars="200"/>
              <w:rPr>
                <w:rFonts w:hint="eastAsia" w:eastAsia="方正仿宋简体"/>
                <w:b/>
                <w:lang w:val="en-US" w:eastAsia="zh-CN"/>
              </w:rPr>
            </w:pPr>
            <w:r>
              <w:rPr>
                <w:rFonts w:hint="eastAsia" w:eastAsia="方正仿宋简体"/>
                <w:b/>
                <w:color w:val="FF0000"/>
                <w:lang w:val="en-US" w:eastAsia="zh-CN"/>
              </w:rPr>
              <w:t>不符合GB/T24001-2016标准 8.2a)条款和GB/T45001-2020标准8.2条款。</w:t>
            </w:r>
          </w:p>
        </w:tc>
        <w:tc>
          <w:tcPr>
            <w:tcW w:w="173" w:type="pct"/>
          </w:tcPr>
          <w:p>
            <w:pPr>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N2</w:t>
            </w:r>
          </w:p>
        </w:tc>
      </w:tr>
    </w:tbl>
    <w:p>
      <w:pPr>
        <w:pStyle w:val="4"/>
        <w:rPr>
          <w:rFonts w:hint="eastAsia" w:asciiTheme="minorEastAsia" w:hAnsiTheme="minorEastAsia" w:eastAsiaTheme="minorEastAsia" w:cstheme="minorEastAsia"/>
        </w:rPr>
      </w:pPr>
    </w:p>
    <w:p>
      <w:pPr>
        <w:pStyle w:val="4"/>
      </w:pPr>
    </w:p>
    <w:tbl>
      <w:tblPr>
        <w:tblStyle w:val="6"/>
        <w:tblpPr w:leftFromText="180" w:rightFromText="180" w:vertAnchor="text" w:horzAnchor="page" w:tblpX="1125" w:tblpY="4"/>
        <w:tblOverlap w:val="never"/>
        <w:tblW w:w="148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1"/>
        <w:gridCol w:w="1037"/>
        <w:gridCol w:w="11354"/>
        <w:gridCol w:w="9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491" w:type="dxa"/>
            <w:vMerge w:val="restart"/>
            <w:noWrap w:val="0"/>
            <w:vAlign w:val="center"/>
          </w:tcPr>
          <w:p>
            <w:pPr>
              <w:spacing w:before="120"/>
              <w:rPr>
                <w:color w:val="auto"/>
              </w:rPr>
            </w:pPr>
            <w:r>
              <w:rPr>
                <w:rFonts w:hint="eastAsia" w:cs="宋体"/>
                <w:color w:val="auto"/>
              </w:rPr>
              <w:t>过程与活动、抽样计划</w:t>
            </w:r>
          </w:p>
        </w:tc>
        <w:tc>
          <w:tcPr>
            <w:tcW w:w="1037" w:type="dxa"/>
            <w:vMerge w:val="restart"/>
            <w:noWrap w:val="0"/>
            <w:vAlign w:val="center"/>
          </w:tcPr>
          <w:p>
            <w:pPr>
              <w:rPr>
                <w:color w:val="auto"/>
              </w:rPr>
            </w:pPr>
            <w:r>
              <w:rPr>
                <w:rFonts w:hint="eastAsia" w:cs="宋体"/>
                <w:color w:val="auto"/>
              </w:rPr>
              <w:t>涉及</w:t>
            </w:r>
          </w:p>
          <w:p>
            <w:pPr>
              <w:rPr>
                <w:color w:val="auto"/>
              </w:rPr>
            </w:pPr>
            <w:r>
              <w:rPr>
                <w:rFonts w:hint="eastAsia" w:cs="宋体"/>
                <w:color w:val="auto"/>
              </w:rPr>
              <w:t>条款</w:t>
            </w:r>
          </w:p>
        </w:tc>
        <w:tc>
          <w:tcPr>
            <w:tcW w:w="11354" w:type="dxa"/>
            <w:noWrap w:val="0"/>
            <w:vAlign w:val="center"/>
          </w:tcPr>
          <w:p>
            <w:pPr>
              <w:rPr>
                <w:rFonts w:hint="eastAsia" w:eastAsia="宋体"/>
                <w:color w:val="auto"/>
                <w:lang w:eastAsia="zh-CN"/>
              </w:rPr>
            </w:pPr>
            <w:r>
              <w:rPr>
                <w:rFonts w:hint="eastAsia" w:cs="宋体"/>
                <w:color w:val="auto"/>
              </w:rPr>
              <w:t>受审核部门：安全事务代表</w:t>
            </w:r>
            <w:r>
              <w:rPr>
                <w:color w:val="auto"/>
              </w:rPr>
              <w:t xml:space="preserve">      </w:t>
            </w:r>
            <w:r>
              <w:rPr>
                <w:rFonts w:hint="eastAsia" w:cs="宋体"/>
                <w:color w:val="auto"/>
              </w:rPr>
              <w:t xml:space="preserve">主管领导： </w:t>
            </w:r>
            <w:r>
              <w:rPr>
                <w:rFonts w:hint="eastAsia" w:cs="宋体"/>
                <w:color w:val="auto"/>
                <w:lang w:eastAsia="zh-CN"/>
              </w:rPr>
              <w:t>丁泽慧</w:t>
            </w:r>
          </w:p>
        </w:tc>
        <w:tc>
          <w:tcPr>
            <w:tcW w:w="964" w:type="dxa"/>
            <w:vMerge w:val="restart"/>
            <w:noWrap w:val="0"/>
            <w:vAlign w:val="center"/>
          </w:tcPr>
          <w:p>
            <w:pPr>
              <w:rPr>
                <w:sz w:val="24"/>
                <w:szCs w:val="24"/>
              </w:rPr>
            </w:pPr>
            <w:r>
              <w:rPr>
                <w:rFonts w:hint="eastAsia" w:cs="宋体"/>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491" w:type="dxa"/>
            <w:vMerge w:val="continue"/>
            <w:noWrap w:val="0"/>
            <w:vAlign w:val="center"/>
          </w:tcPr>
          <w:p>
            <w:pPr>
              <w:rPr>
                <w:color w:val="auto"/>
              </w:rPr>
            </w:pPr>
          </w:p>
        </w:tc>
        <w:tc>
          <w:tcPr>
            <w:tcW w:w="1037" w:type="dxa"/>
            <w:vMerge w:val="continue"/>
            <w:noWrap w:val="0"/>
            <w:vAlign w:val="center"/>
          </w:tcPr>
          <w:p>
            <w:pPr>
              <w:rPr>
                <w:color w:val="auto"/>
              </w:rPr>
            </w:pPr>
          </w:p>
        </w:tc>
        <w:tc>
          <w:tcPr>
            <w:tcW w:w="11354" w:type="dxa"/>
            <w:noWrap w:val="0"/>
            <w:vAlign w:val="center"/>
          </w:tcPr>
          <w:p>
            <w:pPr>
              <w:spacing w:before="120"/>
              <w:rPr>
                <w:rFonts w:hint="eastAsia" w:eastAsia="宋体"/>
                <w:color w:val="auto"/>
                <w:lang w:val="en-US" w:eastAsia="zh-CN"/>
              </w:rPr>
            </w:pPr>
            <w:r>
              <w:rPr>
                <w:rFonts w:hint="eastAsia" w:cs="宋体"/>
                <w:color w:val="auto"/>
              </w:rPr>
              <w:t>审核员：王志慧 夏楠楠</w:t>
            </w:r>
            <w:r>
              <w:rPr>
                <w:rFonts w:hint="eastAsia" w:cs="宋体"/>
                <w:color w:val="auto"/>
                <w:lang w:eastAsia="zh-CN"/>
              </w:rPr>
              <w:t>（实习）</w:t>
            </w:r>
            <w:r>
              <w:rPr>
                <w:color w:val="auto"/>
              </w:rPr>
              <w:t xml:space="preserve"> </w:t>
            </w:r>
            <w:r>
              <w:rPr>
                <w:rFonts w:hint="eastAsia" w:cs="宋体"/>
                <w:color w:val="auto"/>
              </w:rPr>
              <w:t xml:space="preserve">   </w:t>
            </w:r>
            <w:r>
              <w:rPr>
                <w:color w:val="auto"/>
              </w:rPr>
              <w:t xml:space="preserve">      </w:t>
            </w:r>
            <w:r>
              <w:rPr>
                <w:rFonts w:hint="eastAsia" w:cs="宋体"/>
                <w:color w:val="auto"/>
              </w:rPr>
              <w:t>审核时间：2020.08.0</w:t>
            </w:r>
            <w:r>
              <w:rPr>
                <w:rFonts w:hint="eastAsia" w:cs="宋体"/>
                <w:color w:val="auto"/>
                <w:lang w:val="en-US" w:eastAsia="zh-CN"/>
              </w:rPr>
              <w:t>6</w:t>
            </w:r>
          </w:p>
        </w:tc>
        <w:tc>
          <w:tcPr>
            <w:tcW w:w="964" w:type="dxa"/>
            <w:vMerge w:val="continue"/>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491" w:type="dxa"/>
            <w:vMerge w:val="continue"/>
            <w:noWrap w:val="0"/>
            <w:vAlign w:val="center"/>
          </w:tcPr>
          <w:p>
            <w:pPr>
              <w:rPr>
                <w:color w:val="auto"/>
              </w:rPr>
            </w:pPr>
          </w:p>
        </w:tc>
        <w:tc>
          <w:tcPr>
            <w:tcW w:w="1037" w:type="dxa"/>
            <w:vMerge w:val="continue"/>
            <w:noWrap w:val="0"/>
            <w:vAlign w:val="center"/>
          </w:tcPr>
          <w:p>
            <w:pPr>
              <w:rPr>
                <w:color w:val="auto"/>
              </w:rPr>
            </w:pPr>
          </w:p>
        </w:tc>
        <w:tc>
          <w:tcPr>
            <w:tcW w:w="11354" w:type="dxa"/>
            <w:noWrap w:val="0"/>
            <w:vAlign w:val="center"/>
          </w:tcPr>
          <w:p>
            <w:pPr>
              <w:spacing w:line="240" w:lineRule="exact"/>
              <w:rPr>
                <w:color w:val="auto"/>
              </w:rPr>
            </w:pPr>
            <w:r>
              <w:rPr>
                <w:rFonts w:hint="eastAsia" w:cs="宋体"/>
                <w:color w:val="auto"/>
              </w:rPr>
              <w:t>审核条款：</w:t>
            </w:r>
            <w:r>
              <w:rPr>
                <w:color w:val="auto"/>
              </w:rPr>
              <w:t>EO</w:t>
            </w:r>
            <w:r>
              <w:rPr>
                <w:rFonts w:hint="eastAsia"/>
                <w:color w:val="auto"/>
              </w:rPr>
              <w:t>：</w:t>
            </w:r>
            <w:r>
              <w:rPr>
                <w:color w:val="auto"/>
              </w:rPr>
              <w:t>5.3/</w:t>
            </w:r>
            <w:r>
              <w:rPr>
                <w:rFonts w:hint="eastAsia"/>
                <w:color w:val="auto"/>
              </w:rPr>
              <w:t>（5.4）</w:t>
            </w:r>
            <w:r>
              <w:rPr>
                <w:color w:val="auto"/>
              </w:rPr>
              <w:t>/</w:t>
            </w:r>
            <w:r>
              <w:rPr>
                <w:rFonts w:hint="eastAsia"/>
                <w:color w:val="auto"/>
              </w:rPr>
              <w:t>7.4</w:t>
            </w:r>
          </w:p>
        </w:tc>
        <w:tc>
          <w:tcPr>
            <w:tcW w:w="964" w:type="dxa"/>
            <w:vMerge w:val="continue"/>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trPr>
        <w:tc>
          <w:tcPr>
            <w:tcW w:w="1491" w:type="dxa"/>
            <w:noWrap w:val="0"/>
            <w:vAlign w:val="center"/>
          </w:tcPr>
          <w:p>
            <w:pPr>
              <w:rPr>
                <w:color w:val="auto"/>
              </w:rPr>
            </w:pPr>
            <w:r>
              <w:rPr>
                <w:rFonts w:hint="eastAsia"/>
                <w:color w:val="auto"/>
              </w:rPr>
              <w:t>组织的岗位、职责权限</w:t>
            </w:r>
          </w:p>
        </w:tc>
        <w:tc>
          <w:tcPr>
            <w:tcW w:w="1037" w:type="dxa"/>
            <w:noWrap w:val="0"/>
            <w:vAlign w:val="center"/>
          </w:tcPr>
          <w:p>
            <w:pPr>
              <w:rPr>
                <w:rFonts w:hint="eastAsia"/>
                <w:color w:val="auto"/>
              </w:rPr>
            </w:pPr>
            <w:r>
              <w:rPr>
                <w:rFonts w:hint="eastAsia"/>
                <w:color w:val="auto"/>
              </w:rPr>
              <w:t>EO</w:t>
            </w:r>
          </w:p>
          <w:p>
            <w:pPr>
              <w:rPr>
                <w:color w:val="auto"/>
              </w:rPr>
            </w:pPr>
            <w:r>
              <w:rPr>
                <w:rFonts w:hint="eastAsia"/>
                <w:color w:val="auto"/>
              </w:rPr>
              <w:t>5.3</w:t>
            </w:r>
          </w:p>
        </w:tc>
        <w:tc>
          <w:tcPr>
            <w:tcW w:w="11354" w:type="dxa"/>
            <w:noWrap w:val="0"/>
            <w:vAlign w:val="center"/>
          </w:tcPr>
          <w:p>
            <w:pPr>
              <w:rPr>
                <w:color w:val="auto"/>
              </w:rPr>
            </w:pPr>
            <w:r>
              <w:rPr>
                <w:rFonts w:hint="eastAsia"/>
                <w:color w:val="auto"/>
              </w:rPr>
              <w:t>主要负责：参与危险源辨识、风险评价和控制措施的确定；参与事件的调查；参与职业健康安全方针和目标的制定和评审；对变更进行协商；职责明确。</w:t>
            </w:r>
          </w:p>
        </w:tc>
        <w:tc>
          <w:tcPr>
            <w:tcW w:w="964" w:type="dxa"/>
            <w:noWrap w:val="0"/>
            <w:vAlign w:val="center"/>
          </w:tcPr>
          <w:p>
            <w:pPr>
              <w:rPr>
                <w:rFonts w:hint="eastAsia"/>
              </w:rPr>
            </w:pPr>
            <w: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1491" w:type="dxa"/>
            <w:noWrap w:val="0"/>
            <w:vAlign w:val="center"/>
          </w:tcPr>
          <w:p>
            <w:pPr>
              <w:rPr>
                <w:rFonts w:hint="eastAsia"/>
                <w:color w:val="auto"/>
              </w:rPr>
            </w:pPr>
            <w:r>
              <w:rPr>
                <w:rFonts w:hint="eastAsia"/>
                <w:color w:val="auto"/>
              </w:rPr>
              <w:t>沟通、信息交流</w:t>
            </w:r>
          </w:p>
        </w:tc>
        <w:tc>
          <w:tcPr>
            <w:tcW w:w="1037" w:type="dxa"/>
            <w:noWrap w:val="0"/>
            <w:vAlign w:val="center"/>
          </w:tcPr>
          <w:p>
            <w:pPr>
              <w:rPr>
                <w:rFonts w:hint="eastAsia"/>
                <w:color w:val="auto"/>
              </w:rPr>
            </w:pPr>
            <w:r>
              <w:rPr>
                <w:rFonts w:hint="eastAsia"/>
                <w:color w:val="auto"/>
              </w:rPr>
              <w:t>EO</w:t>
            </w:r>
          </w:p>
          <w:p>
            <w:pPr>
              <w:rPr>
                <w:color w:val="auto"/>
              </w:rPr>
            </w:pPr>
            <w:r>
              <w:rPr>
                <w:rFonts w:hint="eastAsia"/>
                <w:color w:val="auto"/>
              </w:rPr>
              <w:t>7.4</w:t>
            </w:r>
          </w:p>
          <w:p>
            <w:pPr>
              <w:rPr>
                <w:color w:val="auto"/>
              </w:rPr>
            </w:pPr>
            <w:r>
              <w:rPr>
                <w:rFonts w:hint="eastAsia"/>
                <w:color w:val="auto"/>
              </w:rPr>
              <w:t>O5.4</w:t>
            </w:r>
          </w:p>
        </w:tc>
        <w:tc>
          <w:tcPr>
            <w:tcW w:w="11354" w:type="dxa"/>
            <w:noWrap w:val="0"/>
            <w:vAlign w:val="center"/>
          </w:tcPr>
          <w:p>
            <w:pPr>
              <w:ind w:firstLine="420" w:firstLineChars="200"/>
              <w:rPr>
                <w:color w:val="auto"/>
              </w:rPr>
            </w:pPr>
            <w:r>
              <w:rPr>
                <w:rFonts w:hint="eastAsia" w:cs="宋体"/>
                <w:color w:val="auto"/>
              </w:rPr>
              <w:t>管理手册的相关章节规定了企业内、外部沟通和员工就职业健康安全事务参与、协商的要求，符合标准要求。</w:t>
            </w:r>
          </w:p>
          <w:p>
            <w:pPr>
              <w:ind w:firstLine="420" w:firstLineChars="200"/>
              <w:rPr>
                <w:color w:val="auto"/>
              </w:rPr>
            </w:pPr>
            <w:r>
              <w:rPr>
                <w:rFonts w:hint="eastAsia" w:cs="宋体"/>
                <w:color w:val="auto"/>
              </w:rPr>
              <w:t>总经理负责在公司建立畅通的沟通渠道。管理者代表是公司内部和外部信息交流和沟通的负责人。</w:t>
            </w:r>
          </w:p>
          <w:p>
            <w:pPr>
              <w:ind w:firstLine="420" w:firstLineChars="200"/>
              <w:rPr>
                <w:rFonts w:hint="eastAsia"/>
                <w:color w:val="auto"/>
              </w:rPr>
            </w:pPr>
            <w:r>
              <w:rPr>
                <w:rFonts w:hint="eastAsia" w:cs="宋体"/>
                <w:color w:val="auto"/>
              </w:rPr>
              <w:t>经全体员工选举，公司任</w:t>
            </w:r>
            <w:r>
              <w:rPr>
                <w:rFonts w:hint="eastAsia" w:ascii="Times New Roman" w:hAnsi="Times New Roman" w:cs="宋体"/>
                <w:color w:val="auto"/>
                <w:szCs w:val="22"/>
              </w:rPr>
              <w:t>命</w:t>
            </w:r>
            <w:r>
              <w:rPr>
                <w:rFonts w:hint="eastAsia" w:cs="宋体"/>
                <w:color w:val="auto"/>
                <w:szCs w:val="22"/>
                <w:lang w:eastAsia="zh-CN"/>
              </w:rPr>
              <w:t>丁泽慧</w:t>
            </w:r>
            <w:r>
              <w:rPr>
                <w:rFonts w:hint="eastAsia" w:cs="宋体"/>
                <w:color w:val="auto"/>
              </w:rPr>
              <w:t>同志为公司安全事务代表，代表全体员工直接向总经理反映职业健康安全方面的相关情况，反映员工的意见。负责内部员工职业健康安全信息的交流与沟通，参与公司管理方针和管理目标的制定，参与安全事故的处理，对事件的调查、处理，职工劳动防护的改善事宜进行协商交流；参与职业安全健康方针、目标、指标、管理方案的制定工作，提出合理化建议。员工的劳保用品得到合理配备并及时发放；每年为一线岗位人员体检一次；员工保险得到按时交纳等。</w:t>
            </w:r>
          </w:p>
        </w:tc>
        <w:tc>
          <w:tcPr>
            <w:tcW w:w="964" w:type="dxa"/>
            <w:noWrap w:val="0"/>
            <w:vAlign w:val="center"/>
          </w:tcPr>
          <w:p>
            <w:pPr>
              <w:rPr>
                <w:rFonts w:hint="eastAsia"/>
              </w:rPr>
            </w:pPr>
            <w:r>
              <w:rPr>
                <w:rFonts w:hint="eastAsia"/>
              </w:rPr>
              <w:t>Y</w:t>
            </w:r>
          </w:p>
        </w:tc>
      </w:tr>
    </w:tbl>
    <w:p>
      <w:pPr>
        <w:pStyle w:val="4"/>
      </w:pPr>
    </w:p>
    <w:p>
      <w:pPr>
        <w:pStyle w:val="4"/>
      </w:pPr>
    </w:p>
    <w:p>
      <w:pPr>
        <w:pStyle w:val="4"/>
      </w:pPr>
      <w:r>
        <w:rPr>
          <w:rFonts w:hint="eastAsia" w:cs="宋体"/>
        </w:rPr>
        <w:t>说明：不符合标注</w:t>
      </w:r>
      <w:r>
        <w:t>N</w:t>
      </w:r>
    </w:p>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简体">
    <w:altName w:val="宋体"/>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4"/>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2"/>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2"/>
        <w:rFonts w:hint="default"/>
      </w:rPr>
      <w:t>北京国标联合认证有限公司</w:t>
    </w:r>
    <w:r>
      <w:rPr>
        <w:rStyle w:val="12"/>
        <w:rFonts w:hint="default"/>
      </w:rPr>
      <w:tab/>
    </w:r>
    <w:r>
      <w:rPr>
        <w:rStyle w:val="12"/>
        <w:rFonts w:hint="default"/>
      </w:rPr>
      <w:tab/>
    </w:r>
    <w:r>
      <w:rPr>
        <w:rStyle w:val="12"/>
        <w:rFonts w:hint="default"/>
      </w:rPr>
      <w:tab/>
    </w:r>
  </w:p>
  <w:p>
    <w:pPr>
      <w:pStyle w:val="5"/>
      <w:pBdr>
        <w:bottom w:val="none" w:color="auto" w:sz="0" w:space="0"/>
      </w:pBdr>
      <w:spacing w:line="320" w:lineRule="exact"/>
      <w:jc w:val="left"/>
    </w:pPr>
    <w:r>
      <w:pict>
        <v:shape id="_x0000_s3073" o:spid="_x0000_s3073" o:spt="202" type="#_x0000_t202" style="position:absolute;left:0pt;margin-left:554.75pt;margin-top:2.2pt;height:20.2pt;width:172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-31管理体系审核记录表(03版)</w:t>
                </w:r>
              </w:p>
            </w:txbxContent>
          </v:textbox>
        </v:shape>
      </w:pict>
    </w:r>
    <w:r>
      <w:rPr>
        <w:rStyle w:val="12"/>
        <w:rFonts w:hint="default"/>
        <w:w w:val="90"/>
      </w:rPr>
      <w:t>Beijing International Standard united Certification Co.,Ltd.</w:t>
    </w:r>
  </w:p>
  <w:p>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NotTrackMove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7B786B"/>
    <w:rsid w:val="0007565A"/>
    <w:rsid w:val="000A6116"/>
    <w:rsid w:val="000D47CD"/>
    <w:rsid w:val="001C319B"/>
    <w:rsid w:val="002A3CD1"/>
    <w:rsid w:val="0036080E"/>
    <w:rsid w:val="003E4778"/>
    <w:rsid w:val="00435298"/>
    <w:rsid w:val="00460D50"/>
    <w:rsid w:val="004809B0"/>
    <w:rsid w:val="00482C57"/>
    <w:rsid w:val="004B7EA6"/>
    <w:rsid w:val="00560916"/>
    <w:rsid w:val="005A2E61"/>
    <w:rsid w:val="005A34AC"/>
    <w:rsid w:val="00654094"/>
    <w:rsid w:val="007A1D28"/>
    <w:rsid w:val="007B786B"/>
    <w:rsid w:val="008513F8"/>
    <w:rsid w:val="00884DDD"/>
    <w:rsid w:val="008A5E44"/>
    <w:rsid w:val="008E3206"/>
    <w:rsid w:val="008E709D"/>
    <w:rsid w:val="00955AE5"/>
    <w:rsid w:val="00962F64"/>
    <w:rsid w:val="009751FA"/>
    <w:rsid w:val="00A54786"/>
    <w:rsid w:val="00A8626A"/>
    <w:rsid w:val="00AB2239"/>
    <w:rsid w:val="00AE4F23"/>
    <w:rsid w:val="00B06DA5"/>
    <w:rsid w:val="00B3690D"/>
    <w:rsid w:val="00B43E64"/>
    <w:rsid w:val="00C30A7D"/>
    <w:rsid w:val="00C4095B"/>
    <w:rsid w:val="00C97CA5"/>
    <w:rsid w:val="00CA2ABD"/>
    <w:rsid w:val="00D07B2F"/>
    <w:rsid w:val="00DE139B"/>
    <w:rsid w:val="00E004F6"/>
    <w:rsid w:val="00E8390D"/>
    <w:rsid w:val="00ED1272"/>
    <w:rsid w:val="00FF4537"/>
    <w:rsid w:val="01AE46A2"/>
    <w:rsid w:val="02A5061F"/>
    <w:rsid w:val="03624F8F"/>
    <w:rsid w:val="03B75C80"/>
    <w:rsid w:val="04383AB2"/>
    <w:rsid w:val="04F44FB2"/>
    <w:rsid w:val="050F36A1"/>
    <w:rsid w:val="0600589A"/>
    <w:rsid w:val="067D6E85"/>
    <w:rsid w:val="06AA7D51"/>
    <w:rsid w:val="06D7089A"/>
    <w:rsid w:val="07161829"/>
    <w:rsid w:val="07620EEC"/>
    <w:rsid w:val="08152956"/>
    <w:rsid w:val="08713E25"/>
    <w:rsid w:val="08D2024D"/>
    <w:rsid w:val="090163A0"/>
    <w:rsid w:val="091A4FCE"/>
    <w:rsid w:val="0B184597"/>
    <w:rsid w:val="0BF4214C"/>
    <w:rsid w:val="0C037F34"/>
    <w:rsid w:val="0CB47EAE"/>
    <w:rsid w:val="0D944DF0"/>
    <w:rsid w:val="0E817EEB"/>
    <w:rsid w:val="0EF73E2C"/>
    <w:rsid w:val="0F030E73"/>
    <w:rsid w:val="0F377F6C"/>
    <w:rsid w:val="0FAC03E7"/>
    <w:rsid w:val="102078DF"/>
    <w:rsid w:val="103E5064"/>
    <w:rsid w:val="119D1A8B"/>
    <w:rsid w:val="11A426F2"/>
    <w:rsid w:val="11C145C2"/>
    <w:rsid w:val="121A7039"/>
    <w:rsid w:val="14356A7F"/>
    <w:rsid w:val="14A05F08"/>
    <w:rsid w:val="14CF13C4"/>
    <w:rsid w:val="14EA47C8"/>
    <w:rsid w:val="15B1255E"/>
    <w:rsid w:val="16150CE8"/>
    <w:rsid w:val="162D79B5"/>
    <w:rsid w:val="16C81987"/>
    <w:rsid w:val="18076553"/>
    <w:rsid w:val="18307ABD"/>
    <w:rsid w:val="18483726"/>
    <w:rsid w:val="198F1E9C"/>
    <w:rsid w:val="1A28370A"/>
    <w:rsid w:val="1AD53B1F"/>
    <w:rsid w:val="1B2C0CE1"/>
    <w:rsid w:val="1B384889"/>
    <w:rsid w:val="1B6D72F5"/>
    <w:rsid w:val="1B9A70AF"/>
    <w:rsid w:val="1E442C0D"/>
    <w:rsid w:val="1E8E0D02"/>
    <w:rsid w:val="1EBB13D0"/>
    <w:rsid w:val="1FD73542"/>
    <w:rsid w:val="21A164AB"/>
    <w:rsid w:val="21BB4CBE"/>
    <w:rsid w:val="21F00382"/>
    <w:rsid w:val="2206654E"/>
    <w:rsid w:val="220F4251"/>
    <w:rsid w:val="22D64B62"/>
    <w:rsid w:val="23514EB1"/>
    <w:rsid w:val="24127562"/>
    <w:rsid w:val="24797F6C"/>
    <w:rsid w:val="25075E7E"/>
    <w:rsid w:val="252B4711"/>
    <w:rsid w:val="263D4B69"/>
    <w:rsid w:val="26C231FA"/>
    <w:rsid w:val="26C82303"/>
    <w:rsid w:val="26D0648B"/>
    <w:rsid w:val="26E1568F"/>
    <w:rsid w:val="26F314A3"/>
    <w:rsid w:val="26FD475C"/>
    <w:rsid w:val="281039A0"/>
    <w:rsid w:val="28B47938"/>
    <w:rsid w:val="28CD1A64"/>
    <w:rsid w:val="28CF6F28"/>
    <w:rsid w:val="297746C1"/>
    <w:rsid w:val="2A69470E"/>
    <w:rsid w:val="2AE77F02"/>
    <w:rsid w:val="2DCB3A99"/>
    <w:rsid w:val="2E0C060B"/>
    <w:rsid w:val="2F3522E1"/>
    <w:rsid w:val="310A56F8"/>
    <w:rsid w:val="3114493B"/>
    <w:rsid w:val="31C1326F"/>
    <w:rsid w:val="32894E55"/>
    <w:rsid w:val="32F21A86"/>
    <w:rsid w:val="3327703B"/>
    <w:rsid w:val="33B7770D"/>
    <w:rsid w:val="34D166B4"/>
    <w:rsid w:val="351872F0"/>
    <w:rsid w:val="356640C1"/>
    <w:rsid w:val="36A0076D"/>
    <w:rsid w:val="36C42159"/>
    <w:rsid w:val="36FF67B9"/>
    <w:rsid w:val="372A598C"/>
    <w:rsid w:val="375225E6"/>
    <w:rsid w:val="3787045A"/>
    <w:rsid w:val="38053FB0"/>
    <w:rsid w:val="38F620DE"/>
    <w:rsid w:val="39A70F73"/>
    <w:rsid w:val="39A97833"/>
    <w:rsid w:val="3AFE7769"/>
    <w:rsid w:val="3B4C5AFF"/>
    <w:rsid w:val="3B506D96"/>
    <w:rsid w:val="3BEF2095"/>
    <w:rsid w:val="3E64279D"/>
    <w:rsid w:val="3EFA796B"/>
    <w:rsid w:val="3FBD0B72"/>
    <w:rsid w:val="3FF23B39"/>
    <w:rsid w:val="416A2A75"/>
    <w:rsid w:val="419111B0"/>
    <w:rsid w:val="41C51E79"/>
    <w:rsid w:val="42707259"/>
    <w:rsid w:val="44925C32"/>
    <w:rsid w:val="44FE5EFA"/>
    <w:rsid w:val="459F19B9"/>
    <w:rsid w:val="460707F3"/>
    <w:rsid w:val="464762E7"/>
    <w:rsid w:val="479B7533"/>
    <w:rsid w:val="48D650B6"/>
    <w:rsid w:val="49453777"/>
    <w:rsid w:val="498C5015"/>
    <w:rsid w:val="499F29CC"/>
    <w:rsid w:val="49A06A74"/>
    <w:rsid w:val="49D25AA1"/>
    <w:rsid w:val="4A736172"/>
    <w:rsid w:val="4B0A295C"/>
    <w:rsid w:val="4B9E0171"/>
    <w:rsid w:val="4C0A5B7E"/>
    <w:rsid w:val="4C140F8A"/>
    <w:rsid w:val="4C886F56"/>
    <w:rsid w:val="4E3C1100"/>
    <w:rsid w:val="4FBF70DE"/>
    <w:rsid w:val="50D05F16"/>
    <w:rsid w:val="50D938B0"/>
    <w:rsid w:val="527B677C"/>
    <w:rsid w:val="529B04AC"/>
    <w:rsid w:val="53064249"/>
    <w:rsid w:val="53832598"/>
    <w:rsid w:val="53B27619"/>
    <w:rsid w:val="546D1D5B"/>
    <w:rsid w:val="577726E7"/>
    <w:rsid w:val="57A779ED"/>
    <w:rsid w:val="58C574F1"/>
    <w:rsid w:val="58E4375E"/>
    <w:rsid w:val="5AAB7064"/>
    <w:rsid w:val="5AFC5C0E"/>
    <w:rsid w:val="5B133056"/>
    <w:rsid w:val="5B8237A0"/>
    <w:rsid w:val="5D133D1E"/>
    <w:rsid w:val="5D5728D4"/>
    <w:rsid w:val="5D936CDA"/>
    <w:rsid w:val="5DE57393"/>
    <w:rsid w:val="5FCC3D99"/>
    <w:rsid w:val="60910095"/>
    <w:rsid w:val="6144469D"/>
    <w:rsid w:val="62416466"/>
    <w:rsid w:val="629E3B3C"/>
    <w:rsid w:val="63EA7EB7"/>
    <w:rsid w:val="64A52C92"/>
    <w:rsid w:val="655A158F"/>
    <w:rsid w:val="657E39AB"/>
    <w:rsid w:val="65AB4CE6"/>
    <w:rsid w:val="65CC2DA3"/>
    <w:rsid w:val="65F56F95"/>
    <w:rsid w:val="66B6643C"/>
    <w:rsid w:val="670E6F91"/>
    <w:rsid w:val="68C52C61"/>
    <w:rsid w:val="69BB72B0"/>
    <w:rsid w:val="6A16423A"/>
    <w:rsid w:val="6ABD3333"/>
    <w:rsid w:val="6AF51385"/>
    <w:rsid w:val="6C107964"/>
    <w:rsid w:val="6C1F1EAE"/>
    <w:rsid w:val="6D590147"/>
    <w:rsid w:val="6D842FF3"/>
    <w:rsid w:val="6D985301"/>
    <w:rsid w:val="6DED16AC"/>
    <w:rsid w:val="6F6D1923"/>
    <w:rsid w:val="6FD804BD"/>
    <w:rsid w:val="702B3BED"/>
    <w:rsid w:val="703D67CE"/>
    <w:rsid w:val="71660063"/>
    <w:rsid w:val="717B4E4F"/>
    <w:rsid w:val="718A1F8E"/>
    <w:rsid w:val="71A77C1B"/>
    <w:rsid w:val="74D86D59"/>
    <w:rsid w:val="77C43D39"/>
    <w:rsid w:val="77D7635B"/>
    <w:rsid w:val="78114E68"/>
    <w:rsid w:val="785A7A8A"/>
    <w:rsid w:val="79857573"/>
    <w:rsid w:val="79BC7765"/>
    <w:rsid w:val="7A0F111C"/>
    <w:rsid w:val="7CF153F2"/>
    <w:rsid w:val="7CF727C6"/>
    <w:rsid w:val="7D38614F"/>
    <w:rsid w:val="7D3A49DA"/>
    <w:rsid w:val="7D8C3765"/>
    <w:rsid w:val="7DEA4851"/>
    <w:rsid w:val="7DF4169F"/>
    <w:rsid w:val="7E671E2A"/>
    <w:rsid w:val="7E9639A5"/>
    <w:rsid w:val="7EE15D19"/>
    <w:rsid w:val="7F5C305E"/>
    <w:rsid w:val="7F737C1D"/>
    <w:rsid w:val="7FBE545A"/>
    <w:rsid w:val="7FEB36D1"/>
    <w:rsid w:val="7FF9531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1"/>
    <w:semiHidden/>
    <w:unhideWhenUsed/>
    <w:qFormat/>
    <w:uiPriority w:val="99"/>
    <w:rPr>
      <w:sz w:val="18"/>
      <w:szCs w:val="18"/>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character" w:styleId="8">
    <w:name w:val="Hyperlink"/>
    <w:qFormat/>
    <w:uiPriority w:val="99"/>
    <w:rPr>
      <w:rFonts w:ascii="Times New Roman" w:hAnsi="Times New Roman" w:eastAsia="宋体"/>
      <w:color w:val="auto"/>
      <w:spacing w:val="0"/>
      <w:w w:val="100"/>
      <w:position w:val="0"/>
      <w:sz w:val="21"/>
      <w:u w:val="none"/>
      <w:vertAlign w:val="baseline"/>
    </w:rPr>
  </w:style>
  <w:style w:type="character" w:customStyle="1" w:styleId="9">
    <w:name w:val="页眉 字符"/>
    <w:basedOn w:val="7"/>
    <w:link w:val="5"/>
    <w:uiPriority w:val="99"/>
    <w:rPr>
      <w:rFonts w:ascii="Times New Roman" w:hAnsi="Times New Roman" w:eastAsia="宋体" w:cs="Times New Roman"/>
      <w:sz w:val="18"/>
      <w:szCs w:val="18"/>
    </w:rPr>
  </w:style>
  <w:style w:type="character" w:customStyle="1" w:styleId="10">
    <w:name w:val="页脚 字符"/>
    <w:basedOn w:val="7"/>
    <w:link w:val="4"/>
    <w:qFormat/>
    <w:uiPriority w:val="99"/>
    <w:rPr>
      <w:rFonts w:ascii="Times New Roman" w:hAnsi="Times New Roman" w:eastAsia="宋体" w:cs="Times New Roman"/>
      <w:sz w:val="18"/>
      <w:szCs w:val="18"/>
    </w:rPr>
  </w:style>
  <w:style w:type="character" w:customStyle="1" w:styleId="11">
    <w:name w:val="批注框文本 字符"/>
    <w:basedOn w:val="7"/>
    <w:link w:val="3"/>
    <w:semiHidden/>
    <w:qFormat/>
    <w:uiPriority w:val="99"/>
    <w:rPr>
      <w:rFonts w:ascii="Times New Roman" w:hAnsi="Times New Roman" w:eastAsia="宋体" w:cs="Times New Roman"/>
      <w:sz w:val="18"/>
      <w:szCs w:val="18"/>
    </w:rPr>
  </w:style>
  <w:style w:type="character" w:customStyle="1" w:styleId="12">
    <w:name w:val="Char Char1"/>
    <w:qFormat/>
    <w:locked/>
    <w:uiPriority w:val="0"/>
    <w:rPr>
      <w:rFonts w:hint="eastAsia" w:ascii="宋体" w:hAnsi="Courier New" w:eastAsia="宋体"/>
      <w:kern w:val="2"/>
      <w:sz w:val="21"/>
      <w:lang w:val="en-US" w:eastAsia="zh-CN" w:bidi="ar-SA"/>
    </w:rPr>
  </w:style>
  <w:style w:type="paragraph" w:customStyle="1" w:styleId="13">
    <w:name w:val="列出段落1"/>
    <w:basedOn w:val="1"/>
    <w:qFormat/>
    <w:uiPriority w:val="34"/>
    <w:pPr>
      <w:ind w:firstLine="420" w:firstLineChars="200"/>
    </w:pPr>
    <w:rPr>
      <w:rFonts w:asciiTheme="minorHAnsi" w:hAnsiTheme="minorHAnsi" w:eastAsiaTheme="minorEastAsia" w:cstheme="minorBidi"/>
      <w:szCs w:val="22"/>
    </w:rPr>
  </w:style>
  <w:style w:type="paragraph" w:styleId="14">
    <w:name w:val="List Paragraph"/>
    <w:basedOn w:val="1"/>
    <w:qFormat/>
    <w:uiPriority w:val="99"/>
    <w:pPr>
      <w:ind w:firstLine="420" w:firstLineChars="200"/>
    </w:pPr>
  </w:style>
  <w:style w:type="character" w:customStyle="1" w:styleId="15">
    <w:name w:val="NormalCharacter"/>
    <w:qFormat/>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4.png"/><Relationship Id="rId7" Type="http://schemas.openxmlformats.org/officeDocument/2006/relationships/image" Target="media/image3.jpe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1248</Words>
  <Characters>7118</Characters>
  <Lines>59</Lines>
  <Paragraphs>16</Paragraphs>
  <TotalTime>0</TotalTime>
  <ScaleCrop>false</ScaleCrop>
  <LinksUpToDate>false</LinksUpToDate>
  <CharactersWithSpaces>8350</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Joyce</cp:lastModifiedBy>
  <dcterms:modified xsi:type="dcterms:W3CDTF">2020-08-13T14:14:46Z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