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bookmarkStart w:id="8" w:name="_GoBack"/>
      <w:bookmarkEnd w:id="8"/>
      <w:r>
        <w:rPr>
          <w:rFonts w:hint="eastAsia" w:ascii="楷体" w:hAnsi="楷体" w:eastAsia="楷体"/>
          <w:color w:val="000000"/>
          <w:sz w:val="28"/>
          <w:szCs w:val="28"/>
        </w:rPr>
        <w:t>合同编号：0393-2020</w:t>
      </w:r>
      <w:r>
        <w:rPr>
          <w:rFonts w:ascii="楷体" w:hAnsi="楷体" w:eastAsia="楷体"/>
          <w:color w:val="000000"/>
          <w:sz w:val="28"/>
          <w:szCs w:val="28"/>
        </w:rPr>
        <w:t>-Q</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受审核方：北京德鸿宇科技有限公司</w:t>
      </w:r>
    </w:p>
    <w:p>
      <w:pPr>
        <w:snapToGrid w:val="0"/>
        <w:spacing w:after="93" w:afterLines="30"/>
        <w:ind w:firstLine="964" w:firstLineChars="3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677"/>
        <w:gridCol w:w="138"/>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677"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6"/>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6"/>
            <w:vAlign w:val="center"/>
          </w:tcPr>
          <w:p>
            <w:pPr>
              <w:rPr>
                <w:b/>
                <w:color w:val="000000"/>
                <w:sz w:val="20"/>
                <w:szCs w:val="20"/>
              </w:rPr>
            </w:pPr>
            <w:r>
              <w:rPr>
                <w:b/>
                <w:color w:val="000000"/>
                <w:sz w:val="20"/>
                <w:szCs w:val="20"/>
              </w:rPr>
              <w:t>2018-N1QMS-2205805</w:t>
            </w:r>
          </w:p>
        </w:tc>
        <w:tc>
          <w:tcPr>
            <w:tcW w:w="2179" w:type="dxa"/>
            <w:gridSpan w:val="2"/>
            <w:vAlign w:val="center"/>
          </w:tcPr>
          <w:p>
            <w:pPr>
              <w:rPr>
                <w:b/>
                <w:color w:val="000000"/>
                <w:sz w:val="20"/>
                <w:szCs w:val="20"/>
              </w:rPr>
            </w:pPr>
            <w:bookmarkStart w:id="0" w:name="专业代码"/>
            <w:r>
              <w:rPr>
                <w:rFonts w:hint="eastAsia"/>
                <w:b/>
                <w:color w:val="000000"/>
                <w:sz w:val="20"/>
                <w:szCs w:val="20"/>
              </w:rPr>
              <w:t>29.12.00;34.05.00</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6"/>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6"/>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6"/>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1" w:name="组织名称"/>
            <w:r>
              <w:rPr>
                <w:rFonts w:ascii="宋体"/>
                <w:b/>
                <w:color w:val="000000"/>
                <w:sz w:val="20"/>
                <w:szCs w:val="20"/>
              </w:rPr>
              <w:t>北京德鸿宇科技有限公司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2" w:name="注册地址"/>
            <w:r>
              <w:rPr>
                <w:rFonts w:ascii="宋体"/>
                <w:b/>
                <w:color w:val="000000"/>
                <w:sz w:val="20"/>
                <w:szCs w:val="20"/>
              </w:rPr>
              <w:t>北京市北京经济技术开发区地盛南街1号1幢3035-2室</w:t>
            </w:r>
            <w:bookmarkEnd w:id="2"/>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r>
              <w:rPr>
                <w:rFonts w:ascii="宋体"/>
                <w:b/>
                <w:color w:val="000000"/>
                <w:sz w:val="20"/>
                <w:szCs w:val="20"/>
              </w:rPr>
              <w:t>北京市北京经济技术开发区地盛南街1号1幢3035-2室</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rPr>
                <w:rFonts w:ascii="宋体"/>
                <w:b/>
                <w:color w:val="000000"/>
                <w:sz w:val="20"/>
                <w:szCs w:val="20"/>
              </w:rPr>
              <w:t>赵永刚</w:t>
            </w:r>
            <w:bookmarkEnd w:id="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rPr>
                <w:rFonts w:ascii="宋体"/>
                <w:b/>
                <w:color w:val="000000"/>
                <w:sz w:val="20"/>
                <w:szCs w:val="20"/>
              </w:rPr>
            </w:pPr>
            <w:r>
              <w:rPr>
                <w:rFonts w:ascii="宋体"/>
                <w:b/>
                <w:color w:val="000000"/>
                <w:sz w:val="20"/>
                <w:szCs w:val="20"/>
              </w:rPr>
              <w:t xml:space="preserve"> </w:t>
            </w:r>
            <w:bookmarkStart w:id="4" w:name="联系人手机"/>
            <w:r>
              <w:rPr>
                <w:rFonts w:ascii="宋体"/>
                <w:b/>
                <w:color w:val="000000"/>
                <w:sz w:val="20"/>
                <w:szCs w:val="20"/>
              </w:rPr>
              <w:t>18612039139</w:t>
            </w:r>
            <w:bookmarkEnd w:id="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5" w:name="法人"/>
            <w:r>
              <w:rPr>
                <w:rFonts w:ascii="宋体"/>
                <w:b/>
                <w:color w:val="000000"/>
                <w:sz w:val="20"/>
                <w:szCs w:val="20"/>
              </w:rPr>
              <w:t>李铁城</w:t>
            </w:r>
            <w:bookmarkEnd w:id="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宋体"/>
                <w:b/>
                <w:color w:val="000000"/>
                <w:sz w:val="20"/>
                <w:szCs w:val="20"/>
                <w:lang w:val="zh-CN"/>
              </w:rPr>
              <w:t>贾香荣</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sz w:val="20"/>
                <w:szCs w:val="20"/>
              </w:rPr>
            </w:pPr>
            <w:r>
              <w:rPr>
                <w:rFonts w:hint="eastAsia" w:ascii="宋体"/>
                <w:b/>
                <w:sz w:val="20"/>
                <w:szCs w:val="20"/>
                <w:lang w:val="zh-CN"/>
              </w:rPr>
              <w:t>2020年3月10日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QMS:</w:t>
            </w:r>
            <w:r>
              <w:rPr>
                <w:rFonts w:hint="eastAsia"/>
              </w:rPr>
              <w:t xml:space="preserve"> </w:t>
            </w:r>
            <w:bookmarkStart w:id="6" w:name="审核范围"/>
            <w:r>
              <w:rPr>
                <w:rFonts w:hint="eastAsia" w:ascii="宋体" w:hAnsi="宋体"/>
                <w:szCs w:val="21"/>
              </w:rPr>
              <w:t>动力提升设备的研发；机电设备、安防产品、消防器材、照明器材的销售</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sz w:val="20"/>
          <w:szCs w:val="20"/>
          <w:lang w:val="en-US" w:eastAsia="zh-CN"/>
        </w:rPr>
      </w:pPr>
      <w:r>
        <w:rPr>
          <w:rFonts w:hint="eastAsia" w:ascii="宋体" w:hAnsi="宋体"/>
          <w:b/>
          <w:color w:val="000000"/>
          <w:sz w:val="20"/>
          <w:szCs w:val="20"/>
        </w:rPr>
        <w:t>部门：</w:t>
      </w:r>
      <w:r>
        <w:rPr>
          <w:rFonts w:hint="eastAsia" w:ascii="宋体" w:hAnsi="宋体"/>
          <w:b/>
          <w:sz w:val="20"/>
          <w:szCs w:val="20"/>
        </w:rPr>
        <w:t>管理层、</w:t>
      </w:r>
      <w:r>
        <w:rPr>
          <w:rFonts w:hint="eastAsia" w:ascii="宋体" w:hAnsi="宋体"/>
          <w:b/>
          <w:sz w:val="20"/>
          <w:szCs w:val="20"/>
          <w:lang w:val="en-US" w:eastAsia="zh-CN"/>
        </w:rPr>
        <w:t>综合部、技术部</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场所：</w:t>
      </w:r>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注册地址：</w:t>
      </w:r>
      <w:bookmarkStart w:id="7" w:name="生产地址"/>
      <w:r>
        <w:rPr>
          <w:rFonts w:hint="eastAsia" w:ascii="宋体" w:hAnsi="宋体"/>
          <w:b/>
          <w:color w:val="000000"/>
          <w:sz w:val="20"/>
          <w:szCs w:val="20"/>
        </w:rPr>
        <w:t>北京市北京经济技术开发区地盛南街1号1幢3035-2室</w:t>
      </w:r>
      <w:bookmarkEnd w:id="7"/>
    </w:p>
    <w:p>
      <w:pPr>
        <w:spacing w:line="300" w:lineRule="auto"/>
        <w:ind w:firstLine="269" w:firstLineChars="134"/>
        <w:rPr>
          <w:rFonts w:ascii="宋体" w:hAnsi="宋体"/>
          <w:b/>
          <w:color w:val="000000"/>
          <w:sz w:val="20"/>
          <w:szCs w:val="20"/>
        </w:rPr>
      </w:pPr>
      <w:r>
        <w:rPr>
          <w:rFonts w:hint="eastAsia" w:ascii="宋体" w:hAnsi="宋体"/>
          <w:b/>
          <w:color w:val="000000"/>
          <w:sz w:val="20"/>
          <w:szCs w:val="20"/>
        </w:rPr>
        <w:t>经营地址：北京市北京经济技术开发区地盛南街1号1幢3035-2室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b/>
                <w:color w:val="000000"/>
                <w:sz w:val="20"/>
                <w:szCs w:val="20"/>
              </w:rPr>
              <w:t xml:space="preserve"> </w:t>
            </w:r>
          </w:p>
          <w:p>
            <w:pPr>
              <w:tabs>
                <w:tab w:val="left" w:pos="360"/>
              </w:tabs>
              <w:ind w:left="360" w:hanging="360"/>
              <w:rPr>
                <w:rFonts w:ascii="宋体"/>
                <w:b/>
                <w:color w:val="000000"/>
                <w:sz w:val="20"/>
                <w:szCs w:val="20"/>
              </w:rPr>
            </w:pPr>
            <w:r>
              <w:rPr>
                <w:rFonts w:hint="eastAsia" w:ascii="宋体" w:hAnsi="宋体"/>
                <w:b/>
                <w:color w:val="000000"/>
                <w:sz w:val="20"/>
                <w:szCs w:val="20"/>
              </w:rPr>
              <w:t xml:space="preserve">服务：动力提升设备的研发；机电设备、安防产品、消防器材、照明器材的销售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防潮、防尘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hAnsi="宋体"/>
                <w:color w:val="000000"/>
                <w:sz w:val="20"/>
                <w:szCs w:val="20"/>
              </w:rPr>
            </w:pPr>
            <w:r>
              <w:rPr>
                <w:rFonts w:hint="eastAsia" w:ascii="宋体" w:hAnsi="宋体"/>
                <w:color w:val="000000"/>
                <w:sz w:val="20"/>
                <w:szCs w:val="20"/>
              </w:rPr>
              <w:t>生产地址：</w:t>
            </w:r>
            <w:r>
              <w:rPr>
                <w:rFonts w:ascii="宋体" w:hAnsi="宋体"/>
                <w:color w:val="000000"/>
                <w:sz w:val="20"/>
                <w:szCs w:val="20"/>
              </w:rPr>
              <w:t xml:space="preserve"> </w:t>
            </w:r>
          </w:p>
          <w:p>
            <w:pPr>
              <w:tabs>
                <w:tab w:val="left" w:pos="360"/>
              </w:tabs>
              <w:ind w:left="357" w:hanging="357"/>
              <w:rPr>
                <w:rFonts w:ascii="宋体" w:hAnsi="宋体"/>
                <w:color w:val="000000"/>
                <w:sz w:val="20"/>
                <w:szCs w:val="20"/>
              </w:rPr>
            </w:pPr>
            <w:r>
              <w:rPr>
                <w:rFonts w:hint="eastAsia" w:ascii="宋体" w:hAnsi="宋体"/>
                <w:color w:val="000000"/>
                <w:sz w:val="20"/>
                <w:szCs w:val="20"/>
              </w:rPr>
              <w:t>经营地地址：北京市北京经济技术开发区地盛南街1号1幢3035-2室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有多种产品，规格型号多种   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sz w:val="20"/>
                <w:szCs w:val="20"/>
              </w:rPr>
              <w:t>倒班生产</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w:t>
            </w:r>
            <w:r>
              <w:rPr>
                <w:rFonts w:hint="eastAsia" w:ascii="宋体" w:hAnsi="宋体"/>
                <w:color w:val="auto"/>
                <w:spacing w:val="-10"/>
                <w:sz w:val="20"/>
                <w:szCs w:val="20"/>
              </w:rPr>
              <w:t>标准号：</w:t>
            </w:r>
            <w:r>
              <w:rPr>
                <w:rFonts w:hint="eastAsia" w:ascii="宋体" w:hAnsi="宋体"/>
                <w:color w:val="auto"/>
                <w:spacing w:val="-10"/>
                <w:sz w:val="20"/>
                <w:szCs w:val="20"/>
                <w:lang w:val="en-US" w:eastAsia="zh-CN"/>
              </w:rPr>
              <w:t>GBT19155-2017高处作业吊篮、GB/T6096-2009安全带测试方法、GB6095安全带、GBT3188-2008起重机设计规范、GBT8918-1996钢丝绳</w:t>
            </w:r>
            <w:r>
              <w:rPr>
                <w:rFonts w:hint="eastAsia" w:ascii="宋体" w:hAnsi="宋体"/>
                <w:color w:val="auto"/>
                <w:spacing w:val="-10"/>
                <w:sz w:val="20"/>
                <w:szCs w:val="20"/>
              </w:rPr>
              <w:t xml:space="preserve">等   </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sz w:val="20"/>
                <w:szCs w:val="20"/>
              </w:rPr>
            </w:pPr>
            <w:r>
              <w:rPr>
                <w:rFonts w:hint="eastAsia" w:ascii="宋体" w:hAnsi="宋体"/>
                <w:sz w:val="20"/>
                <w:szCs w:val="20"/>
              </w:rPr>
              <w:t>产品生产工艺</w:t>
            </w:r>
            <w:r>
              <w:rPr>
                <w:rFonts w:ascii="宋体" w:hAnsi="宋体"/>
                <w:sz w:val="20"/>
                <w:szCs w:val="20"/>
              </w:rPr>
              <w:t>/</w:t>
            </w:r>
          </w:p>
          <w:p>
            <w:pPr>
              <w:rPr>
                <w:rFonts w:ascii="宋体"/>
                <w:sz w:val="20"/>
                <w:szCs w:val="20"/>
              </w:rPr>
            </w:pPr>
            <w:r>
              <w:rPr>
                <w:rFonts w:hint="eastAsia" w:ascii="宋体" w:hAnsi="宋体"/>
                <w:sz w:val="20"/>
                <w:szCs w:val="20"/>
              </w:rPr>
              <w:t>服务提供流程</w:t>
            </w:r>
          </w:p>
        </w:tc>
        <w:tc>
          <w:tcPr>
            <w:tcW w:w="7427" w:type="dxa"/>
          </w:tcPr>
          <w:p>
            <w:pPr>
              <w:bidi w:val="0"/>
              <w:rPr>
                <w:rFonts w:hint="eastAsia"/>
                <w:lang w:val="en-US" w:eastAsia="zh-CN"/>
              </w:rPr>
            </w:pPr>
            <w:r>
              <w:rPr>
                <w:rFonts w:hint="eastAsia"/>
              </w:rPr>
              <w:t>研发：立项--需求分析--</w:t>
            </w:r>
            <w:r>
              <w:rPr>
                <w:rFonts w:hint="eastAsia"/>
                <w:lang w:val="en-US" w:eastAsia="zh-CN"/>
              </w:rPr>
              <w:t>设计任务书--产品设计</w:t>
            </w:r>
            <w:r>
              <w:rPr>
                <w:rFonts w:hint="eastAsia"/>
              </w:rPr>
              <w:t>—样机试制</w:t>
            </w:r>
            <w:r>
              <w:rPr>
                <w:rFonts w:hint="eastAsia"/>
                <w:lang w:eastAsia="zh-CN"/>
              </w:rPr>
              <w:t>、</w:t>
            </w:r>
            <w:r>
              <w:rPr>
                <w:rFonts w:hint="eastAsia"/>
              </w:rPr>
              <w:t>测试</w:t>
            </w:r>
            <w:r>
              <w:t>—</w:t>
            </w:r>
            <w:r>
              <w:rPr>
                <w:rFonts w:hint="eastAsia"/>
                <w:lang w:val="en-US" w:eastAsia="zh-CN"/>
              </w:rPr>
              <w:t>验收</w:t>
            </w:r>
          </w:p>
          <w:p>
            <w:pPr>
              <w:bidi w:val="0"/>
            </w:pPr>
            <w:r>
              <w:rPr>
                <w:rFonts w:hint="eastAsia"/>
              </w:rPr>
              <w:t>销售：客户接触----合同评审----签订合同-----客户付款------入帐------采购</w:t>
            </w:r>
          </w:p>
          <w:p>
            <w:pPr>
              <w:bidi w:val="0"/>
              <w:rPr>
                <w:rFonts w:ascii="宋体"/>
                <w:szCs w:val="20"/>
              </w:rPr>
            </w:pPr>
            <w:r>
              <w:rPr>
                <w:rFonts w:hint="eastAsia"/>
              </w:rPr>
              <w:t>-----客户提货-----验收-----发货----交付-----售后服务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spacing w:val="-10"/>
                <w:sz w:val="20"/>
                <w:szCs w:val="20"/>
              </w:rPr>
            </w:pPr>
            <w:r>
              <w:rPr>
                <w:rFonts w:hint="eastAsia" w:ascii="宋体" w:hAnsi="宋体"/>
                <w:spacing w:val="-10"/>
                <w:sz w:val="20"/>
                <w:szCs w:val="20"/>
              </w:rPr>
              <w:t>关键过程（</w:t>
            </w:r>
            <w:r>
              <w:rPr>
                <w:rFonts w:ascii="宋体" w:hAnsi="宋体"/>
                <w:spacing w:val="-10"/>
                <w:sz w:val="20"/>
                <w:szCs w:val="20"/>
              </w:rPr>
              <w:t>QMS</w:t>
            </w:r>
            <w:r>
              <w:rPr>
                <w:rFonts w:hint="eastAsia" w:ascii="宋体" w:hAnsi="宋体"/>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关键过程有：设计</w:t>
            </w:r>
            <w:r>
              <w:rPr>
                <w:rFonts w:hint="eastAsia" w:ascii="宋体" w:hAnsi="宋体"/>
                <w:color w:val="000000"/>
                <w:sz w:val="20"/>
                <w:szCs w:val="20"/>
                <w:lang w:val="en-US" w:eastAsia="zh-CN"/>
              </w:rPr>
              <w:t>过程</w:t>
            </w:r>
            <w:r>
              <w:rPr>
                <w:rFonts w:hint="eastAsia" w:ascii="宋体" w:hAnsi="宋体"/>
                <w:color w:val="000000"/>
                <w:sz w:val="20"/>
                <w:szCs w:val="20"/>
              </w:rPr>
              <w:t>、测试过程</w:t>
            </w:r>
            <w:r>
              <w:rPr>
                <w:rFonts w:hint="eastAsia" w:ascii="宋体" w:hAnsi="宋体"/>
                <w:color w:val="000000"/>
                <w:sz w:val="20"/>
                <w:szCs w:val="20"/>
                <w:lang w:val="zh-CN"/>
              </w:rPr>
              <w:t>、</w:t>
            </w:r>
            <w:r>
              <w:rPr>
                <w:rFonts w:hint="eastAsia" w:ascii="宋体"/>
                <w:color w:val="000000"/>
                <w:sz w:val="20"/>
                <w:szCs w:val="20"/>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zh-CN"/>
              </w:rPr>
              <w:t>产品和服务的设计开发控制程序、产品和服务提供控制程序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color w:val="000000"/>
                <w:sz w:val="20"/>
                <w:szCs w:val="20"/>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sz w:val="20"/>
                <w:szCs w:val="20"/>
              </w:rPr>
              <w:t>样</w:t>
            </w:r>
            <w:r>
              <w:rPr>
                <w:rFonts w:hint="eastAsia" w:ascii="宋体"/>
                <w:sz w:val="20"/>
                <w:szCs w:val="20"/>
                <w:lang w:val="en-US" w:eastAsia="zh-CN"/>
              </w:rPr>
              <w:t>品</w:t>
            </w:r>
            <w:r>
              <w:rPr>
                <w:rFonts w:hint="eastAsia" w:ascii="宋体" w:hAnsi="宋体"/>
                <w:color w:val="000000"/>
                <w:sz w:val="20"/>
                <w:szCs w:val="20"/>
                <w:lang w:val="en-US" w:eastAsia="zh-CN"/>
              </w:rPr>
              <w:t>委托加工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w:t>
            </w:r>
            <w:r>
              <w:rPr>
                <w:rFonts w:hint="eastAsia" w:ascii="宋体" w:hAnsi="宋体"/>
                <w:sz w:val="20"/>
                <w:szCs w:val="20"/>
              </w:rPr>
              <w:t>否明确了外包过程的控制方法：</w:t>
            </w:r>
            <w:r>
              <w:rPr>
                <w:rFonts w:hint="eastAsia" w:ascii="宋体" w:hAnsi="宋体"/>
                <w:sz w:val="20"/>
                <w:szCs w:val="20"/>
                <w:lang w:val="zh-CN"/>
              </w:rPr>
              <w:t>采购管理控制程序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spacing w:val="-10"/>
                <w:sz w:val="20"/>
                <w:szCs w:val="20"/>
              </w:rPr>
            </w:pPr>
            <w:r>
              <w:rPr>
                <w:rFonts w:hint="eastAsia" w:ascii="宋体" w:hAnsi="宋体"/>
                <w:spacing w:val="-10"/>
                <w:sz w:val="20"/>
                <w:szCs w:val="20"/>
              </w:rPr>
              <w:t>主要</w:t>
            </w:r>
            <w:r>
              <w:rPr>
                <w:rFonts w:hint="eastAsia" w:ascii="宋体" w:hAnsi="宋体"/>
                <w:color w:val="auto"/>
                <w:spacing w:val="-10"/>
                <w:sz w:val="20"/>
                <w:szCs w:val="20"/>
              </w:rPr>
              <w:t>设备：</w:t>
            </w:r>
            <w:r>
              <w:rPr>
                <w:rFonts w:ascii="宋体"/>
                <w:color w:val="auto"/>
                <w:spacing w:val="-10"/>
                <w:sz w:val="20"/>
                <w:szCs w:val="20"/>
              </w:rPr>
              <w:t>笔记本电脑</w:t>
            </w:r>
            <w:r>
              <w:rPr>
                <w:rFonts w:hint="eastAsia" w:ascii="宋体"/>
                <w:color w:val="auto"/>
                <w:spacing w:val="-10"/>
                <w:sz w:val="20"/>
                <w:szCs w:val="20"/>
              </w:rPr>
              <w:t>、</w:t>
            </w:r>
            <w:r>
              <w:rPr>
                <w:rFonts w:ascii="宋体"/>
                <w:color w:val="auto"/>
                <w:spacing w:val="-10"/>
                <w:sz w:val="20"/>
                <w:szCs w:val="20"/>
              </w:rPr>
              <w:t>台式电脑</w:t>
            </w:r>
            <w:r>
              <w:rPr>
                <w:rFonts w:hint="eastAsia" w:ascii="宋体"/>
                <w:color w:val="auto"/>
                <w:spacing w:val="-10"/>
                <w:sz w:val="20"/>
                <w:szCs w:val="20"/>
              </w:rPr>
              <w:t>、打印机等办公设备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sz w:val="20"/>
                <w:szCs w:val="20"/>
              </w:rPr>
            </w:pPr>
            <w:r>
              <w:rPr>
                <w:rFonts w:hint="eastAsia" w:ascii="宋体" w:hAnsi="宋体"/>
                <w:sz w:val="20"/>
                <w:szCs w:val="20"/>
              </w:rPr>
              <w:t>特种设备：</w:t>
            </w:r>
            <w:r>
              <w:rPr>
                <w:rFonts w:ascii="宋体"/>
                <w:sz w:val="20"/>
                <w:szCs w:val="20"/>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auto"/>
                <w:sz w:val="20"/>
                <w:szCs w:val="20"/>
              </w:rPr>
              <w:t>）：</w:t>
            </w:r>
            <w:r>
              <w:rPr>
                <w:rFonts w:hint="eastAsia" w:ascii="宋体"/>
                <w:color w:val="auto"/>
                <w:spacing w:val="-10"/>
                <w:sz w:val="20"/>
                <w:szCs w:val="20"/>
                <w:lang w:val="en-US" w:eastAsia="zh-CN"/>
              </w:rPr>
              <w:t>游标卡尺、钢直尺等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w:t>
            </w:r>
            <w:r>
              <w:rPr>
                <w:rFonts w:hint="eastAsia" w:ascii="宋体"/>
                <w:sz w:val="20"/>
                <w:szCs w:val="20"/>
              </w:rPr>
              <w:t>设备是否满足要求</w:t>
            </w:r>
            <w:r>
              <w:rPr>
                <w:rFonts w:hint="eastAsia" w:ascii="宋体" w:hAnsi="宋体"/>
                <w:color w:val="000000"/>
                <w:sz w:val="20"/>
                <w:szCs w:val="20"/>
              </w:rPr>
              <w:sym w:font="Wingdings 2" w:char="0052"/>
            </w:r>
            <w:r>
              <w:rPr>
                <w:rFonts w:hint="eastAsia" w:ascii="宋体"/>
                <w:sz w:val="20"/>
                <w:szCs w:val="20"/>
              </w:rPr>
              <w:t>是</w:t>
            </w:r>
            <w:r>
              <w:rPr>
                <w:rFonts w:hint="eastAsia" w:ascii="宋体" w:hAnsi="宋体"/>
                <w:color w:val="000000"/>
                <w:sz w:val="20"/>
                <w:szCs w:val="20"/>
              </w:rPr>
              <w:t>□</w:t>
            </w:r>
            <w:r>
              <w:rPr>
                <w:rFonts w:hint="eastAsia" w:ascii="宋体"/>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组织员工人数：2</w:t>
            </w:r>
            <w:r>
              <w:rPr>
                <w:rFonts w:hint="eastAsia" w:ascii="宋体"/>
                <w:color w:val="000000"/>
                <w:sz w:val="20"/>
                <w:szCs w:val="20"/>
                <w:lang w:val="en-US" w:eastAsia="zh-CN"/>
              </w:rPr>
              <w:t>5</w:t>
            </w:r>
            <w:r>
              <w:rPr>
                <w:rFonts w:hint="eastAsia" w:ascii="宋体"/>
                <w:color w:val="000000"/>
                <w:sz w:val="20"/>
                <w:szCs w:val="20"/>
              </w:rPr>
              <w:t>人，其中管理人员：5人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sz w:val="20"/>
                <w:szCs w:val="20"/>
                <w:lang w:val="en-US" w:eastAsia="zh-CN"/>
              </w:rPr>
            </w:pPr>
            <w:r>
              <w:rPr>
                <w:rFonts w:hint="eastAsia" w:ascii="宋体" w:hAnsi="宋体"/>
                <w:b/>
                <w:color w:val="000000"/>
                <w:sz w:val="20"/>
                <w:szCs w:val="20"/>
              </w:rPr>
              <w:t>重点</w:t>
            </w:r>
            <w:r>
              <w:rPr>
                <w:rFonts w:hint="eastAsia" w:ascii="宋体" w:hAnsi="宋体"/>
                <w:b/>
                <w:sz w:val="20"/>
                <w:szCs w:val="20"/>
              </w:rPr>
              <w:t>审核部门：技术部</w:t>
            </w:r>
            <w:r>
              <w:rPr>
                <w:rFonts w:hint="eastAsia" w:ascii="宋体" w:hAnsi="宋体"/>
                <w:b/>
                <w:sz w:val="20"/>
                <w:szCs w:val="20"/>
                <w:lang w:eastAsia="zh-CN"/>
              </w:rPr>
              <w:t>、</w:t>
            </w:r>
            <w:r>
              <w:rPr>
                <w:rFonts w:hint="eastAsia" w:ascii="宋体" w:hAnsi="宋体"/>
                <w:b/>
                <w:sz w:val="20"/>
                <w:szCs w:val="20"/>
                <w:lang w:val="en-US" w:eastAsia="zh-CN"/>
              </w:rPr>
              <w:t>综合部</w:t>
            </w:r>
          </w:p>
          <w:p>
            <w:pPr>
              <w:spacing w:line="360" w:lineRule="auto"/>
              <w:rPr>
                <w:rFonts w:ascii="宋体"/>
                <w:b/>
                <w:color w:val="000000"/>
                <w:sz w:val="20"/>
                <w:szCs w:val="20"/>
              </w:rPr>
            </w:pPr>
            <w:r>
              <w:rPr>
                <w:rFonts w:hint="eastAsia" w:ascii="宋体" w:hAnsi="宋体"/>
                <w:b/>
                <w:color w:val="000000"/>
                <w:sz w:val="20"/>
                <w:szCs w:val="20"/>
              </w:rPr>
              <w:t>重点审核过程：生产过程控制、放行控制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sz w:val="20"/>
                <w:szCs w:val="20"/>
              </w:rPr>
            </w:pPr>
            <w:r>
              <w:rPr>
                <w:rFonts w:hint="eastAsia" w:ascii="宋体" w:hAnsi="宋体"/>
                <w:b/>
                <w:sz w:val="20"/>
                <w:szCs w:val="20"/>
              </w:rPr>
              <w:t>了解内审的策划</w:t>
            </w:r>
            <w:r>
              <w:rPr>
                <w:rFonts w:ascii="宋体" w:hAnsi="宋体"/>
                <w:b/>
                <w:sz w:val="20"/>
                <w:szCs w:val="20"/>
              </w:rPr>
              <w:t xml:space="preserve">; </w:t>
            </w:r>
            <w:r>
              <w:rPr>
                <w:rFonts w:hint="eastAsia" w:ascii="宋体" w:hAnsi="宋体"/>
                <w:b/>
                <w:sz w:val="20"/>
                <w:szCs w:val="20"/>
              </w:rPr>
              <w:t>策划了审核目的、</w:t>
            </w:r>
            <w:r>
              <w:rPr>
                <w:rFonts w:hint="eastAsia" w:ascii="宋体" w:hAnsi="宋体"/>
                <w:b/>
                <w:sz w:val="20"/>
                <w:szCs w:val="20"/>
                <w:lang w:val="en-US" w:eastAsia="zh-CN"/>
              </w:rPr>
              <w:t>范围、准则、频次</w:t>
            </w:r>
            <w:r>
              <w:rPr>
                <w:rFonts w:hint="eastAsia" w:ascii="宋体" w:hAnsi="宋体"/>
                <w:b/>
                <w:sz w:val="20"/>
                <w:szCs w:val="20"/>
              </w:rPr>
              <w:t>、审核组成员、审核时间安排等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sz w:val="20"/>
                <w:szCs w:val="20"/>
              </w:rPr>
            </w:pPr>
            <w:r>
              <w:rPr>
                <w:rFonts w:hint="eastAsia" w:ascii="宋体" w:hAnsi="宋体"/>
                <w:b/>
                <w:sz w:val="20"/>
                <w:szCs w:val="20"/>
              </w:rPr>
              <w:t>了解内审是否覆盖了管理体系范围内的活动及标准的要求</w:t>
            </w:r>
            <w:r>
              <w:rPr>
                <w:rFonts w:ascii="宋体" w:hAnsi="宋体"/>
                <w:b/>
                <w:sz w:val="20"/>
                <w:szCs w:val="20"/>
              </w:rPr>
              <w:t xml:space="preserve">; </w:t>
            </w:r>
            <w:r>
              <w:rPr>
                <w:rFonts w:hint="eastAsia" w:ascii="宋体" w:hAnsi="宋体"/>
                <w:b/>
                <w:sz w:val="20"/>
                <w:szCs w:val="20"/>
              </w:rPr>
              <w:t>覆盖所有活动及条款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sz w:val="20"/>
                <w:szCs w:val="20"/>
              </w:rPr>
            </w:pPr>
            <w:r>
              <w:rPr>
                <w:rFonts w:hint="eastAsia" w:ascii="宋体" w:hAnsi="宋体"/>
                <w:b/>
                <w:sz w:val="20"/>
                <w:szCs w:val="20"/>
              </w:rPr>
              <w:t>了解内审结论是什么？</w:t>
            </w:r>
          </w:p>
          <w:p>
            <w:pPr>
              <w:spacing w:line="260" w:lineRule="exact"/>
              <w:rPr>
                <w:rFonts w:ascii="宋体" w:hAnsi="宋体"/>
                <w:b/>
                <w:sz w:val="20"/>
                <w:szCs w:val="20"/>
              </w:rPr>
            </w:pPr>
            <w:r>
              <w:rPr>
                <w:rFonts w:hint="eastAsia" w:ascii="宋体" w:hAnsi="宋体"/>
                <w:b/>
                <w:sz w:val="20"/>
                <w:szCs w:val="20"/>
              </w:rPr>
              <w:t>综合来看，这次内审是比较成功的审核，同时也发现我公司的质量管理体系运行基本是正常的、有效的。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sz w:val="20"/>
                <w:szCs w:val="20"/>
              </w:rPr>
            </w:pPr>
            <w:r>
              <w:rPr>
                <w:rFonts w:hint="eastAsia" w:ascii="宋体" w:hAnsi="宋体"/>
                <w:b/>
                <w:sz w:val="20"/>
                <w:szCs w:val="20"/>
              </w:rPr>
              <w:t>了解管理评审的策划</w:t>
            </w:r>
            <w:r>
              <w:rPr>
                <w:rFonts w:ascii="宋体" w:hAnsi="宋体"/>
                <w:b/>
                <w:sz w:val="20"/>
                <w:szCs w:val="20"/>
              </w:rPr>
              <w:t xml:space="preserve">; </w:t>
            </w:r>
            <w:r>
              <w:rPr>
                <w:rFonts w:hint="eastAsia" w:ascii="宋体" w:hAnsi="宋体"/>
                <w:b/>
                <w:sz w:val="20"/>
                <w:szCs w:val="20"/>
              </w:rPr>
              <w:t>策划了评审目的、参与人员、评审依据、范围、评审内容、评审时间等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输入充分，覆盖标准9.3要求。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hAnsi="宋体"/>
                <w:b/>
                <w:color w:val="000000"/>
                <w:sz w:val="20"/>
                <w:szCs w:val="20"/>
              </w:rPr>
            </w:pPr>
            <w:r>
              <w:rPr>
                <w:rFonts w:hint="eastAsia" w:ascii="宋体" w:hAnsi="宋体"/>
                <w:b/>
                <w:color w:val="000000"/>
                <w:sz w:val="20"/>
                <w:szCs w:val="20"/>
              </w:rPr>
              <w:t>组织员工对某些重要条款进行学习，如：7.5.3文件化信息的控制；</w:t>
            </w:r>
          </w:p>
          <w:p>
            <w:pPr>
              <w:spacing w:line="260" w:lineRule="exact"/>
              <w:rPr>
                <w:rFonts w:hint="eastAsia" w:ascii="宋体" w:hAnsi="宋体"/>
                <w:b/>
                <w:color w:val="000000"/>
                <w:sz w:val="20"/>
                <w:szCs w:val="20"/>
              </w:rPr>
            </w:pPr>
            <w:r>
              <w:rPr>
                <w:rFonts w:hint="eastAsia" w:ascii="宋体" w:hAnsi="宋体"/>
                <w:b/>
                <w:color w:val="000000"/>
                <w:sz w:val="20"/>
                <w:szCs w:val="20"/>
              </w:rPr>
              <w:t>建设网站，增强公司市场的推广能力。</w:t>
            </w:r>
          </w:p>
          <w:p>
            <w:pPr>
              <w:spacing w:line="260" w:lineRule="exact"/>
              <w:rPr>
                <w:rFonts w:ascii="宋体" w:hAnsi="宋体"/>
                <w:b/>
                <w:color w:val="000000"/>
                <w:sz w:val="20"/>
                <w:szCs w:val="20"/>
              </w:rPr>
            </w:pPr>
            <w:r>
              <w:rPr>
                <w:rFonts w:hint="eastAsia" w:ascii="宋体" w:hAnsi="宋体"/>
                <w:b/>
                <w:color w:val="000000"/>
                <w:sz w:val="20"/>
                <w:szCs w:val="20"/>
              </w:rPr>
              <w:t>管理体系运行稳定、适宜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内审、管理评审基本有效，已为二阶段审核做好准备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朱晓丽</w:t>
      </w:r>
      <w:r>
        <w:rPr>
          <w:rFonts w:ascii="宋体" w:hAnsi="宋体"/>
          <w:b/>
          <w:color w:val="000000"/>
        </w:rPr>
        <w:t xml:space="preserve">  </w:t>
      </w:r>
      <w:r>
        <w:rPr>
          <w:rFonts w:hint="eastAsia" w:ascii="宋体"/>
          <w:b/>
          <w:bCs/>
          <w:color w:val="000000"/>
          <w:sz w:val="26"/>
          <w:szCs w:val="26"/>
        </w:rPr>
        <w:t xml:space="preserve">      </w:t>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20</w:t>
      </w:r>
      <w:r>
        <w:rPr>
          <w:rFonts w:hint="eastAsia" w:ascii="宋体" w:hAnsi="宋体"/>
          <w:b/>
          <w:color w:val="000000"/>
        </w:rPr>
        <w:t>年8月</w:t>
      </w:r>
      <w:r>
        <w:rPr>
          <w:rFonts w:hint="eastAsia" w:ascii="宋体" w:hAnsi="宋体"/>
          <w:b/>
          <w:color w:val="000000"/>
          <w:lang w:val="en-US" w:eastAsia="zh-CN"/>
        </w:rPr>
        <w:t>10</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eastAsia="隶书"/>
          <w:color w:val="000000"/>
          <w:sz w:val="28"/>
          <w:szCs w:val="28"/>
        </w:rPr>
        <w:t xml:space="preserve"> </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263"/>
        <w:gridCol w:w="3106"/>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263"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3106"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263" w:type="dxa"/>
            <w:vAlign w:val="center"/>
          </w:tcPr>
          <w:p>
            <w:pPr>
              <w:pStyle w:val="4"/>
              <w:pBdr>
                <w:bottom w:val="none" w:color="auto" w:sz="0" w:space="0"/>
              </w:pBdr>
              <w:tabs>
                <w:tab w:val="center" w:pos="5737"/>
                <w:tab w:val="clear" w:pos="4153"/>
              </w:tabs>
              <w:jc w:val="both"/>
              <w:rPr>
                <w:color w:val="000000"/>
                <w:sz w:val="24"/>
                <w:szCs w:val="24"/>
              </w:rPr>
            </w:pPr>
          </w:p>
        </w:tc>
        <w:tc>
          <w:tcPr>
            <w:tcW w:w="3106"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263" w:type="dxa"/>
            <w:vAlign w:val="center"/>
          </w:tcPr>
          <w:p>
            <w:pPr>
              <w:pStyle w:val="4"/>
              <w:pBdr>
                <w:bottom w:val="none" w:color="auto" w:sz="0" w:space="0"/>
              </w:pBdr>
              <w:tabs>
                <w:tab w:val="center" w:pos="5737"/>
                <w:tab w:val="clear" w:pos="4153"/>
              </w:tabs>
              <w:jc w:val="both"/>
              <w:rPr>
                <w:color w:val="000000"/>
                <w:sz w:val="24"/>
                <w:szCs w:val="24"/>
              </w:rPr>
            </w:pPr>
          </w:p>
        </w:tc>
        <w:tc>
          <w:tcPr>
            <w:tcW w:w="3106"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263" w:type="dxa"/>
            <w:vAlign w:val="center"/>
          </w:tcPr>
          <w:p>
            <w:pPr>
              <w:pStyle w:val="4"/>
              <w:pBdr>
                <w:bottom w:val="none" w:color="auto" w:sz="0" w:space="0"/>
              </w:pBdr>
              <w:tabs>
                <w:tab w:val="center" w:pos="5737"/>
                <w:tab w:val="clear" w:pos="4153"/>
              </w:tabs>
              <w:jc w:val="both"/>
              <w:rPr>
                <w:color w:val="000000"/>
                <w:sz w:val="24"/>
                <w:szCs w:val="24"/>
              </w:rPr>
            </w:pPr>
          </w:p>
        </w:tc>
        <w:tc>
          <w:tcPr>
            <w:tcW w:w="3106"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263" w:type="dxa"/>
            <w:vAlign w:val="center"/>
          </w:tcPr>
          <w:p>
            <w:pPr>
              <w:pStyle w:val="4"/>
              <w:pBdr>
                <w:bottom w:val="none" w:color="auto" w:sz="0" w:space="0"/>
              </w:pBdr>
              <w:tabs>
                <w:tab w:val="center" w:pos="5737"/>
                <w:tab w:val="clear" w:pos="4153"/>
              </w:tabs>
              <w:jc w:val="both"/>
              <w:rPr>
                <w:color w:val="000000"/>
                <w:sz w:val="24"/>
                <w:szCs w:val="24"/>
              </w:rPr>
            </w:pPr>
          </w:p>
        </w:tc>
        <w:tc>
          <w:tcPr>
            <w:tcW w:w="3106"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b/>
                <w:color w:val="000000"/>
                <w:spacing w:val="-10"/>
                <w:sz w:val="20"/>
                <w:szCs w:val="20"/>
              </w:rPr>
              <w:sym w:font="Wingdings 2" w:char="0052"/>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b/>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b/>
                <w:color w:val="000000"/>
                <w:spacing w:val="-10"/>
                <w:sz w:val="20"/>
                <w:szCs w:val="20"/>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26A8"/>
    <w:rsid w:val="00065B15"/>
    <w:rsid w:val="00084370"/>
    <w:rsid w:val="000A3715"/>
    <w:rsid w:val="000B13C0"/>
    <w:rsid w:val="000B1456"/>
    <w:rsid w:val="000C5A14"/>
    <w:rsid w:val="000D203D"/>
    <w:rsid w:val="000D41B8"/>
    <w:rsid w:val="000E78BF"/>
    <w:rsid w:val="000F224E"/>
    <w:rsid w:val="0010395B"/>
    <w:rsid w:val="00134BFD"/>
    <w:rsid w:val="00140F7D"/>
    <w:rsid w:val="00146C97"/>
    <w:rsid w:val="00162C55"/>
    <w:rsid w:val="001B2618"/>
    <w:rsid w:val="001B7FFE"/>
    <w:rsid w:val="001C2CCA"/>
    <w:rsid w:val="001D3A88"/>
    <w:rsid w:val="001D4CB0"/>
    <w:rsid w:val="00217A0D"/>
    <w:rsid w:val="00231860"/>
    <w:rsid w:val="00232BB6"/>
    <w:rsid w:val="00236054"/>
    <w:rsid w:val="00240B96"/>
    <w:rsid w:val="0024143C"/>
    <w:rsid w:val="002502B4"/>
    <w:rsid w:val="002540A6"/>
    <w:rsid w:val="0025771B"/>
    <w:rsid w:val="00261E7E"/>
    <w:rsid w:val="00264768"/>
    <w:rsid w:val="00297521"/>
    <w:rsid w:val="002B0E13"/>
    <w:rsid w:val="002B1C7A"/>
    <w:rsid w:val="002B69C4"/>
    <w:rsid w:val="002D10A2"/>
    <w:rsid w:val="002D2005"/>
    <w:rsid w:val="002E017B"/>
    <w:rsid w:val="002F3C38"/>
    <w:rsid w:val="00314571"/>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4E11"/>
    <w:rsid w:val="00486ADF"/>
    <w:rsid w:val="004A0CBF"/>
    <w:rsid w:val="004A4446"/>
    <w:rsid w:val="004A62A6"/>
    <w:rsid w:val="004A7849"/>
    <w:rsid w:val="004F251A"/>
    <w:rsid w:val="005202C1"/>
    <w:rsid w:val="00524FEE"/>
    <w:rsid w:val="005352C2"/>
    <w:rsid w:val="0054770A"/>
    <w:rsid w:val="005756E5"/>
    <w:rsid w:val="00577AF9"/>
    <w:rsid w:val="00577E0D"/>
    <w:rsid w:val="00590833"/>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C431E"/>
    <w:rsid w:val="006F7AD0"/>
    <w:rsid w:val="00744088"/>
    <w:rsid w:val="00747F8A"/>
    <w:rsid w:val="00763E0D"/>
    <w:rsid w:val="00767600"/>
    <w:rsid w:val="0078148C"/>
    <w:rsid w:val="00787653"/>
    <w:rsid w:val="0079482C"/>
    <w:rsid w:val="007A52BA"/>
    <w:rsid w:val="007A7587"/>
    <w:rsid w:val="007B0C8F"/>
    <w:rsid w:val="007B12F5"/>
    <w:rsid w:val="007B22F2"/>
    <w:rsid w:val="007C3610"/>
    <w:rsid w:val="007D5C94"/>
    <w:rsid w:val="007F06CB"/>
    <w:rsid w:val="007F1B90"/>
    <w:rsid w:val="007F657E"/>
    <w:rsid w:val="00801137"/>
    <w:rsid w:val="00811520"/>
    <w:rsid w:val="00871B00"/>
    <w:rsid w:val="0089273E"/>
    <w:rsid w:val="00896557"/>
    <w:rsid w:val="008C2E1A"/>
    <w:rsid w:val="008D3CCE"/>
    <w:rsid w:val="008F59A4"/>
    <w:rsid w:val="00931B2C"/>
    <w:rsid w:val="009322A5"/>
    <w:rsid w:val="009327FA"/>
    <w:rsid w:val="00933D2D"/>
    <w:rsid w:val="009365E1"/>
    <w:rsid w:val="00936C30"/>
    <w:rsid w:val="00966C26"/>
    <w:rsid w:val="009677FC"/>
    <w:rsid w:val="009730FD"/>
    <w:rsid w:val="00976781"/>
    <w:rsid w:val="009D09B6"/>
    <w:rsid w:val="009F5822"/>
    <w:rsid w:val="00A11F53"/>
    <w:rsid w:val="00A32A91"/>
    <w:rsid w:val="00A35AD2"/>
    <w:rsid w:val="00A423F6"/>
    <w:rsid w:val="00A43C2C"/>
    <w:rsid w:val="00A45A99"/>
    <w:rsid w:val="00A45F1F"/>
    <w:rsid w:val="00A57188"/>
    <w:rsid w:val="00A66F07"/>
    <w:rsid w:val="00A86665"/>
    <w:rsid w:val="00AA0934"/>
    <w:rsid w:val="00AB23A7"/>
    <w:rsid w:val="00AC0359"/>
    <w:rsid w:val="00AD1764"/>
    <w:rsid w:val="00B019A4"/>
    <w:rsid w:val="00B075FE"/>
    <w:rsid w:val="00B107F8"/>
    <w:rsid w:val="00B27AED"/>
    <w:rsid w:val="00B367EA"/>
    <w:rsid w:val="00B45ECB"/>
    <w:rsid w:val="00B514D8"/>
    <w:rsid w:val="00B52382"/>
    <w:rsid w:val="00B75FC6"/>
    <w:rsid w:val="00B87151"/>
    <w:rsid w:val="00BB115E"/>
    <w:rsid w:val="00BC58FE"/>
    <w:rsid w:val="00BC76F9"/>
    <w:rsid w:val="00C05807"/>
    <w:rsid w:val="00C408AA"/>
    <w:rsid w:val="00C45A34"/>
    <w:rsid w:val="00C557E5"/>
    <w:rsid w:val="00C64983"/>
    <w:rsid w:val="00C70853"/>
    <w:rsid w:val="00C73DE6"/>
    <w:rsid w:val="00C74FD8"/>
    <w:rsid w:val="00C81EA5"/>
    <w:rsid w:val="00C94E48"/>
    <w:rsid w:val="00CA0B06"/>
    <w:rsid w:val="00CA23BE"/>
    <w:rsid w:val="00CC53EB"/>
    <w:rsid w:val="00CC5C6F"/>
    <w:rsid w:val="00CC5D3D"/>
    <w:rsid w:val="00CC7F51"/>
    <w:rsid w:val="00CD5460"/>
    <w:rsid w:val="00CF7756"/>
    <w:rsid w:val="00D1718E"/>
    <w:rsid w:val="00D50121"/>
    <w:rsid w:val="00DA11B2"/>
    <w:rsid w:val="00DD092B"/>
    <w:rsid w:val="00DD6639"/>
    <w:rsid w:val="00DD69B1"/>
    <w:rsid w:val="00DF55BF"/>
    <w:rsid w:val="00E063C3"/>
    <w:rsid w:val="00E3135B"/>
    <w:rsid w:val="00E70232"/>
    <w:rsid w:val="00E837C5"/>
    <w:rsid w:val="00E8551A"/>
    <w:rsid w:val="00EA5E27"/>
    <w:rsid w:val="00EC3AC2"/>
    <w:rsid w:val="00EC5AF6"/>
    <w:rsid w:val="00EE5187"/>
    <w:rsid w:val="00EF1786"/>
    <w:rsid w:val="00EF560E"/>
    <w:rsid w:val="00EF7D0C"/>
    <w:rsid w:val="00F07780"/>
    <w:rsid w:val="00F57EB8"/>
    <w:rsid w:val="00F651EB"/>
    <w:rsid w:val="00F769D3"/>
    <w:rsid w:val="00F9713E"/>
    <w:rsid w:val="00FA3157"/>
    <w:rsid w:val="00FB7585"/>
    <w:rsid w:val="00FB7F57"/>
    <w:rsid w:val="00FE639C"/>
    <w:rsid w:val="029E3B76"/>
    <w:rsid w:val="02E07729"/>
    <w:rsid w:val="04D346EA"/>
    <w:rsid w:val="08CE58FD"/>
    <w:rsid w:val="0ADE7863"/>
    <w:rsid w:val="0AFB6E8C"/>
    <w:rsid w:val="0C77541C"/>
    <w:rsid w:val="0D4F42B4"/>
    <w:rsid w:val="0D642E21"/>
    <w:rsid w:val="0F9F7808"/>
    <w:rsid w:val="11173C18"/>
    <w:rsid w:val="120D1BE9"/>
    <w:rsid w:val="13D82D17"/>
    <w:rsid w:val="14557BB3"/>
    <w:rsid w:val="14CF2F49"/>
    <w:rsid w:val="15BC3FD1"/>
    <w:rsid w:val="15FC140B"/>
    <w:rsid w:val="18292C86"/>
    <w:rsid w:val="1A05055E"/>
    <w:rsid w:val="1C6341A6"/>
    <w:rsid w:val="1D753E0B"/>
    <w:rsid w:val="1E457BBE"/>
    <w:rsid w:val="20845AF4"/>
    <w:rsid w:val="21BF41FC"/>
    <w:rsid w:val="237A7C77"/>
    <w:rsid w:val="23C17D2D"/>
    <w:rsid w:val="254F0E99"/>
    <w:rsid w:val="25AB4EDD"/>
    <w:rsid w:val="25FA5BD5"/>
    <w:rsid w:val="28CA10D0"/>
    <w:rsid w:val="2B130B2A"/>
    <w:rsid w:val="2C793492"/>
    <w:rsid w:val="2F2A6BCE"/>
    <w:rsid w:val="37F914AE"/>
    <w:rsid w:val="3DB479FF"/>
    <w:rsid w:val="3EC75EAE"/>
    <w:rsid w:val="40966B83"/>
    <w:rsid w:val="420F619E"/>
    <w:rsid w:val="45E753DD"/>
    <w:rsid w:val="46AC1FA8"/>
    <w:rsid w:val="475D76E6"/>
    <w:rsid w:val="48C7589B"/>
    <w:rsid w:val="493366AD"/>
    <w:rsid w:val="49916B26"/>
    <w:rsid w:val="49B058E1"/>
    <w:rsid w:val="4A047B81"/>
    <w:rsid w:val="4A4D2485"/>
    <w:rsid w:val="4BF64B85"/>
    <w:rsid w:val="4C141FCA"/>
    <w:rsid w:val="4C631C74"/>
    <w:rsid w:val="4D087D99"/>
    <w:rsid w:val="4E7F1263"/>
    <w:rsid w:val="4F33769A"/>
    <w:rsid w:val="4FC95673"/>
    <w:rsid w:val="51715DAF"/>
    <w:rsid w:val="525B6A4C"/>
    <w:rsid w:val="53F109BD"/>
    <w:rsid w:val="540341C0"/>
    <w:rsid w:val="56C44070"/>
    <w:rsid w:val="59215989"/>
    <w:rsid w:val="59E50E89"/>
    <w:rsid w:val="5A2D4ABE"/>
    <w:rsid w:val="5DF76947"/>
    <w:rsid w:val="5E4934CA"/>
    <w:rsid w:val="5EF54604"/>
    <w:rsid w:val="5F293D96"/>
    <w:rsid w:val="602D1D73"/>
    <w:rsid w:val="61FB6066"/>
    <w:rsid w:val="640679D5"/>
    <w:rsid w:val="646F5DAA"/>
    <w:rsid w:val="667B2C4F"/>
    <w:rsid w:val="66C0145B"/>
    <w:rsid w:val="68D11D22"/>
    <w:rsid w:val="6C156E70"/>
    <w:rsid w:val="6E3043BF"/>
    <w:rsid w:val="6FDA0018"/>
    <w:rsid w:val="71D2581F"/>
    <w:rsid w:val="74B61C8B"/>
    <w:rsid w:val="7A095C55"/>
    <w:rsid w:val="7A0A195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next w:val="1"/>
    <w:link w:val="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4"/>
    <w:qFormat/>
    <w:locked/>
    <w:uiPriority w:val="99"/>
    <w:rPr>
      <w:rFonts w:ascii="Calibri" w:hAnsi="Calibri" w:eastAsia="宋体" w:cs="Times New Roman"/>
      <w:sz w:val="18"/>
      <w:szCs w:val="18"/>
    </w:rPr>
  </w:style>
  <w:style w:type="character" w:customStyle="1" w:styleId="10">
    <w:name w:val="批注框文本 Char"/>
    <w:link w:val="2"/>
    <w:semiHidden/>
    <w:locked/>
    <w:uiPriority w:val="99"/>
    <w:rPr>
      <w:rFonts w:ascii="Times New Roman" w:hAnsi="Times New Roman" w:eastAsia="宋体" w:cs="Times New Roman"/>
      <w:sz w:val="18"/>
      <w:szCs w:val="18"/>
    </w:rPr>
  </w:style>
  <w:style w:type="character" w:customStyle="1" w:styleId="11">
    <w:name w:val="页脚 Char"/>
    <w:link w:val="3"/>
    <w:qFormat/>
    <w:locked/>
    <w:uiPriority w:val="99"/>
    <w:rPr>
      <w:rFonts w:ascii="Times New Roman" w:hAnsi="Times New Roman"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1146</Words>
  <Characters>6536</Characters>
  <Lines>54</Lines>
  <Paragraphs>15</Paragraphs>
  <TotalTime>46</TotalTime>
  <ScaleCrop>false</ScaleCrop>
  <LinksUpToDate>false</LinksUpToDate>
  <CharactersWithSpaces>7667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2020-08-12T08:29:36Z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