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北京瑞纳旭邦科技有限公司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Q:19.16.00</w:t>
            </w:r>
          </w:p>
          <w:p>
            <w:pPr>
              <w:jc w:val="center"/>
              <w:rPr>
                <w:b/>
                <w:sz w:val="21"/>
                <w:szCs w:val="21"/>
              </w:rPr>
            </w:pPr>
            <w:r>
              <w:rPr>
                <w:b/>
                <w:sz w:val="21"/>
                <w:szCs w:val="21"/>
              </w:rPr>
              <w:t>E:19.16.00</w:t>
            </w:r>
          </w:p>
          <w:p>
            <w:pPr>
              <w:jc w:val="center"/>
              <w:rPr>
                <w:b/>
                <w:sz w:val="21"/>
                <w:szCs w:val="21"/>
              </w:rPr>
            </w:pPr>
            <w:r>
              <w:rPr>
                <w:b/>
                <w:sz w:val="21"/>
                <w:szCs w:val="21"/>
              </w:rPr>
              <w:t>O:19.16.00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2019-N0EMS-1218164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北京瑞纳旭邦科技有限公司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15人无变化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北京市房山区阎村镇张庄村北8号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102400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北京市房山区阎村镇张庄村北8号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102400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北京市房山区阎村镇张庄村北8号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102400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王惺博</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010-89362597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王惺博</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王惺博</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王惺博</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2020年08月13日 上午至2020年08月14日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Q：电解设备的维修</w:t>
            </w:r>
          </w:p>
          <w:p>
            <w:pPr>
              <w:spacing w:line="0" w:lineRule="atLeast"/>
              <w:jc w:val="left"/>
              <w:rPr>
                <w:rFonts w:hint="eastAsia" w:ascii="宋体" w:hAnsi="宋体"/>
              </w:rPr>
            </w:pPr>
            <w:r>
              <w:rPr>
                <w:rFonts w:hint="eastAsia" w:ascii="宋体" w:hAnsi="宋体"/>
              </w:rPr>
              <w:t>E：电解设备的维修及相关环境管理活动</w:t>
            </w:r>
          </w:p>
          <w:p>
            <w:pPr>
              <w:spacing w:line="360" w:lineRule="exact"/>
              <w:rPr>
                <w:rFonts w:ascii="宋体" w:hAnsi="宋体"/>
                <w:b/>
                <w:sz w:val="21"/>
                <w:szCs w:val="21"/>
              </w:rPr>
            </w:pPr>
            <w:r>
              <w:rPr>
                <w:rFonts w:hint="eastAsia" w:ascii="宋体" w:hAnsi="宋体"/>
              </w:rPr>
              <w:t>O：电解设备的维修及相关职业健康安全管理活动</w:t>
            </w:r>
            <w:bookmarkEnd w:id="2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Q：19.16.00</w:t>
            </w:r>
          </w:p>
          <w:p>
            <w:pPr>
              <w:spacing w:line="260" w:lineRule="exact"/>
              <w:rPr>
                <w:rFonts w:ascii="宋体" w:hAnsi="宋体"/>
                <w:b/>
                <w:sz w:val="21"/>
                <w:szCs w:val="21"/>
              </w:rPr>
            </w:pPr>
            <w:r>
              <w:rPr>
                <w:rFonts w:ascii="宋体" w:hAnsi="宋体"/>
                <w:b/>
                <w:sz w:val="21"/>
                <w:szCs w:val="21"/>
              </w:rPr>
              <w:t>E：19.16.00</w:t>
            </w:r>
          </w:p>
          <w:p>
            <w:pPr>
              <w:spacing w:line="260" w:lineRule="exact"/>
              <w:rPr>
                <w:rFonts w:ascii="宋体" w:hAnsi="宋体"/>
                <w:b/>
                <w:sz w:val="21"/>
                <w:szCs w:val="21"/>
              </w:rPr>
            </w:pPr>
            <w:r>
              <w:rPr>
                <w:rFonts w:ascii="宋体" w:hAnsi="宋体"/>
                <w:b/>
                <w:sz w:val="21"/>
                <w:szCs w:val="21"/>
              </w:rPr>
              <w:t>O：19.16.00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2022.8.19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2019-08-09 -- 2019-08-14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pPr>
            <w:r>
              <w:t>1</w:t>
            </w:r>
            <w:r>
              <w:rPr>
                <w:rFonts w:hint="eastAsia"/>
              </w:rPr>
              <w:t>、组织及其环境的识别情况</w:t>
            </w:r>
          </w:p>
          <w:p>
            <w:pPr>
              <w:pStyle w:val="14"/>
              <w:rPr>
                <w:bCs w:val="0"/>
                <w:spacing w:val="0"/>
              </w:rPr>
            </w:pPr>
            <w:r>
              <w:rPr>
                <w:rFonts w:hint="eastAsia"/>
                <w:bCs w:val="0"/>
                <w:spacing w:val="0"/>
              </w:rPr>
              <w:t>北京瑞纳旭邦科技有限公司</w:t>
            </w:r>
            <w:r>
              <w:rPr>
                <w:bCs w:val="0"/>
                <w:spacing w:val="0"/>
              </w:rPr>
              <w:t xml:space="preserve"> </w:t>
            </w:r>
            <w:r>
              <w:rPr>
                <w:rFonts w:hint="eastAsia"/>
                <w:bCs w:val="0"/>
                <w:spacing w:val="0"/>
              </w:rPr>
              <w:t>，成立于</w:t>
            </w:r>
            <w:r>
              <w:rPr>
                <w:bCs w:val="0"/>
                <w:spacing w:val="0"/>
              </w:rPr>
              <w:t>2010-11-22 - 2040-11-21</w:t>
            </w:r>
            <w:r>
              <w:rPr>
                <w:rFonts w:hint="eastAsia"/>
                <w:bCs w:val="0"/>
                <w:spacing w:val="0"/>
              </w:rPr>
              <w:t>，注册资本为</w:t>
            </w:r>
            <w:r>
              <w:rPr>
                <w:bCs w:val="0"/>
                <w:spacing w:val="0"/>
              </w:rPr>
              <w:t>3800</w:t>
            </w:r>
            <w:r>
              <w:rPr>
                <w:rFonts w:hint="eastAsia"/>
                <w:bCs w:val="0"/>
                <w:spacing w:val="0"/>
              </w:rPr>
              <w:t>万元的有限责任公司。公司主要业务为技术开发；维修电解设备、机械设备、电气设备；销售不锈钢容器、节能环保设备、机械设备、水泥、钢结构、五金交电（不含电动自行车）、化工产品（不含危险化学品）、建筑材料、电子元器件、日用杂品；制造不锈钢容器和节电器。（企业依法自主选择经营项目，开展经营活动；依法须经批准的项目，经相关部门批准后依批准的内容开展经营活动；不得从事本市产业政策禁止和限制类项目的经营活动。）公司的主要客户群为全国各地的企业；公司采用总经理负责制，层层把关，让用户真正放心</w:t>
            </w:r>
          </w:p>
          <w:p>
            <w:r>
              <w:rPr>
                <w:rFonts w:hint="eastAsia"/>
              </w:rPr>
              <w:t>。</w:t>
            </w:r>
          </w:p>
          <w:p>
            <w:pPr>
              <w:pStyle w:val="14"/>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b/>
                <w:color w:val="000000"/>
                <w:sz w:val="20"/>
                <w:szCs w:val="20"/>
              </w:rPr>
            </w:pPr>
            <w:r>
              <w:rPr>
                <w:b/>
                <w:color w:val="000000"/>
                <w:sz w:val="20"/>
                <w:szCs w:val="20"/>
              </w:rPr>
              <w:t>3.</w:t>
            </w:r>
            <w:r>
              <w:rPr>
                <w:rFonts w:hint="eastAsia" w:ascii="宋体" w:hAnsi="宋体" w:cs="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cs="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cs="宋体"/>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wordWrap w:val="0"/>
              <w:spacing w:line="360" w:lineRule="auto"/>
              <w:ind w:firstLine="482" w:firstLineChars="200"/>
              <w:jc w:val="left"/>
              <w:rPr>
                <w:b/>
                <w:bCs/>
                <w:szCs w:val="21"/>
              </w:rPr>
            </w:pPr>
            <w:r>
              <w:rPr>
                <w:rFonts w:hint="eastAsia"/>
                <w:b/>
                <w:bCs/>
                <w:szCs w:val="21"/>
              </w:rPr>
              <w:t>质量第一，诚信守法，顾客满意，献精品服务；</w:t>
            </w:r>
          </w:p>
          <w:p>
            <w:pPr>
              <w:spacing w:line="280" w:lineRule="exact"/>
              <w:ind w:firstLine="482" w:firstLineChars="200"/>
              <w:rPr>
                <w:b/>
                <w:bCs/>
                <w:sz w:val="24"/>
              </w:rPr>
            </w:pPr>
            <w:r>
              <w:rPr>
                <w:rFonts w:hint="eastAsia"/>
                <w:b/>
                <w:bCs/>
                <w:szCs w:val="21"/>
              </w:rPr>
              <w:t>以人为本，安全为先，注重环保，可持续发展</w:t>
            </w:r>
            <w:r>
              <w:rPr>
                <w:rFonts w:hint="eastAsia"/>
                <w:b/>
                <w:bCs/>
                <w:sz w:val="24"/>
              </w:rPr>
              <w:t>。</w:t>
            </w:r>
          </w:p>
          <w:p>
            <w:pPr>
              <w:pStyle w:val="14"/>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40" w:lineRule="exact"/>
              <w:ind w:leftChars="0"/>
            </w:pPr>
            <w:r>
              <w:rPr>
                <w:rFonts w:hint="eastAsia"/>
              </w:rPr>
              <w:t>风险识别与控制策划</w:t>
            </w:r>
          </w:p>
          <w:p>
            <w:r>
              <w:rPr>
                <w:rFonts w:hint="eastAsia"/>
              </w:rPr>
              <w:t>制定了《风险和机遇的应对控制程序》，明确风险和机遇事件的识别方法</w:t>
            </w:r>
            <w:r>
              <w:t>/</w:t>
            </w:r>
            <w:r>
              <w:rPr>
                <w:rFonts w:hint="eastAsia"/>
              </w:rPr>
              <w:t>途径、风险和机遇事件的评估方式、制定主要风险和机遇事件的应对措施的要求、评价这些措施有效性的方法。</w:t>
            </w:r>
          </w:p>
          <w:p>
            <w:pPr>
              <w:spacing w:line="240" w:lineRule="exact"/>
            </w:pPr>
            <w:r>
              <w:rPr>
                <w:rFonts w:hint="eastAsia"/>
              </w:rPr>
              <w:t>提供了“</w:t>
            </w:r>
            <w:r>
              <w:t>2019</w:t>
            </w:r>
            <w:r>
              <w:rPr>
                <w:rFonts w:hint="eastAsia"/>
              </w:rPr>
              <w:t>年度</w:t>
            </w:r>
            <w:r>
              <w:t xml:space="preserve"> SWOT</w:t>
            </w:r>
            <w:r>
              <w:rPr>
                <w:rFonts w:hint="eastAsia"/>
              </w:rPr>
              <w: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00" w:lineRule="exact"/>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pPr>
            <w:r>
              <w:rPr>
                <w:rFonts w:hint="eastAsia" w:ascii="宋体" w:hAnsi="宋体"/>
                <w:b/>
                <w:color w:val="000000"/>
                <w:sz w:val="20"/>
                <w:szCs w:val="20"/>
              </w:rPr>
              <w:t>质量管理体系过程有：</w:t>
            </w:r>
          </w:p>
          <w:p>
            <w:pPr>
              <w:rPr>
                <w:rFonts w:hint="eastAsia"/>
              </w:rPr>
            </w:pPr>
            <w:r>
              <w:rPr>
                <w:rFonts w:hint="eastAsia"/>
              </w:rPr>
              <w:t>签订合同→电解设备维修→打压试漏→更换阳极网、阴极网（无弧点焊）→冲水清洗→检验入库→发货</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u w:val="single"/>
              </w:rPr>
              <w:t xml:space="preserve">  </w:t>
            </w:r>
            <w:r>
              <w:rPr>
                <w:rFonts w:hint="eastAsia"/>
                <w:u w:val="single"/>
              </w:rPr>
              <w:t>无弧点焊过程</w:t>
            </w:r>
            <w:r>
              <w:rPr>
                <w:u w:val="single"/>
              </w:rPr>
              <w:t xml:space="preserve">   </w:t>
            </w:r>
            <w:r>
              <w:rPr>
                <w:rFonts w:ascii="宋体" w:hAnsi="宋体"/>
                <w:b/>
                <w:color w:val="000000"/>
                <w:sz w:val="20"/>
                <w:szCs w:val="20"/>
                <w:u w:val="single"/>
              </w:rPr>
              <w:t xml:space="preserve">   </w:t>
            </w:r>
          </w:p>
          <w:p>
            <w:pPr>
              <w:tabs>
                <w:tab w:val="left" w:pos="540"/>
              </w:tabs>
              <w:spacing w:line="300" w:lineRule="exact"/>
              <w:ind w:left="201" w:hanging="201" w:hangingChars="100"/>
              <w:rPr>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u w:val="single"/>
              </w:rPr>
              <w:t>无弧点焊过程</w:t>
            </w:r>
          </w:p>
          <w:p>
            <w:pPr>
              <w:tabs>
                <w:tab w:val="left" w:pos="540"/>
              </w:tabs>
              <w:spacing w:line="300" w:lineRule="exact"/>
              <w:ind w:left="211" w:hanging="240" w:hangingChars="100"/>
              <w:rPr>
                <w:rFonts w:ascii="宋体" w:hAnsi="宋体"/>
                <w:b/>
                <w:sz w:val="21"/>
                <w:szCs w:val="21"/>
              </w:rPr>
            </w:pPr>
            <w:r>
              <w:pict>
                <v:shape id="_x0000_s2051" o:spid="_x0000_s2051"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pict>
                <v:shape id="_x0000_s2052" o:spid="_x0000_s2052"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ascii="宋体" w:hAnsi="宋体"/>
                <w:b/>
                <w:color w:val="000000"/>
                <w:sz w:val="20"/>
                <w:szCs w:val="20"/>
              </w:rPr>
              <w:t xml:space="preserve">   </w:t>
            </w:r>
            <w:r>
              <w:rPr>
                <w:rFonts w:hint="eastAsia" w:ascii="宋体" w:hAnsi="宋体"/>
                <w:b/>
                <w:color w:val="000000"/>
                <w:sz w:val="20"/>
                <w:szCs w:val="20"/>
              </w:rPr>
              <w:t>公司的</w:t>
            </w:r>
            <w:r>
              <w:rPr>
                <w:rFonts w:hint="eastAsia" w:ascii="宋体" w:hAnsi="宋体"/>
                <w:b/>
                <w:color w:val="000000"/>
                <w:sz w:val="20"/>
                <w:szCs w:val="20"/>
                <w:lang w:eastAsia="zh-CN"/>
              </w:rPr>
              <w:t>电解设备的维修</w:t>
            </w:r>
            <w:r>
              <w:rPr>
                <w:rFonts w:hint="eastAsia" w:ascii="宋体" w:hAnsi="宋体"/>
                <w:b/>
                <w:color w:val="000000"/>
                <w:sz w:val="20"/>
                <w:szCs w:val="20"/>
              </w:rPr>
              <w:t>服务不涉及产品的设计开发</w:t>
            </w:r>
            <w:r>
              <w:rPr>
                <w:rFonts w:ascii="宋体" w:hAnsi="宋体"/>
                <w:b/>
                <w:color w:val="000000"/>
                <w:sz w:val="20"/>
                <w:szCs w:val="20"/>
              </w:rPr>
              <w:t xml:space="preserve">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 xml:space="preserve">/ </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94" w:lineRule="exact"/>
              <w:ind w:firstLine="480" w:firstLineChars="200"/>
              <w:rPr>
                <w:szCs w:val="21"/>
              </w:rPr>
            </w:pPr>
            <w:r>
              <w:rPr>
                <w:rFonts w:hint="eastAsia"/>
                <w:szCs w:val="21"/>
              </w:rPr>
              <w:t>编制了《环境因素的识别与评价控制程序》符合标准要求</w:t>
            </w:r>
            <w:r>
              <w:rPr>
                <w:szCs w:val="21"/>
              </w:rPr>
              <w:t>.</w:t>
            </w:r>
          </w:p>
          <w:p>
            <w:pPr>
              <w:ind w:firstLine="480" w:firstLineChars="200"/>
            </w:pPr>
            <w:r>
              <w:rPr>
                <w:rFonts w:hint="eastAsia"/>
                <w:szCs w:val="21"/>
              </w:rPr>
              <w:t>提供的“环境因素识别评价表”“重要环境因素清单”，</w:t>
            </w:r>
            <w:r>
              <w:rPr>
                <w:szCs w:val="21"/>
              </w:rPr>
              <w:t xml:space="preserve"> </w:t>
            </w:r>
            <w:r>
              <w:rPr>
                <w:rFonts w:hint="eastAsia"/>
                <w:szCs w:val="21"/>
              </w:rPr>
              <w:t>评价考虑了三种时态现在、过去、将来、三种状态、异常、正常、紧急考虑了法律法规，并进行了评价，针对</w:t>
            </w:r>
            <w:r>
              <w:rPr>
                <w:rFonts w:hint="eastAsia" w:ascii="宋体" w:hAnsi="宋体"/>
                <w:szCs w:val="21"/>
              </w:rPr>
              <w:t>电解设备的维修</w:t>
            </w:r>
            <w:r>
              <w:rPr>
                <w:rFonts w:hint="eastAsia" w:ascii="宋体" w:hAnsi="宋体"/>
                <w:sz w:val="24"/>
              </w:rPr>
              <w:t>服务</w:t>
            </w:r>
            <w:r>
              <w:rPr>
                <w:rFonts w:hint="eastAsia"/>
                <w:szCs w:val="21"/>
              </w:rPr>
              <w:t>过程，用打分法考虑了法规符合性、发生频次、影响范围等</w:t>
            </w:r>
            <w:r>
              <w:rPr>
                <w:szCs w:val="21"/>
              </w:rPr>
              <w:t xml:space="preserve">, </w:t>
            </w:r>
            <w:r>
              <w:rPr>
                <w:rFonts w:hint="eastAsia"/>
                <w:szCs w:val="21"/>
              </w:rPr>
              <w:t>通过定性判断法，共识别出重大环境因素</w:t>
            </w:r>
            <w:r>
              <w:rPr>
                <w:szCs w:val="21"/>
              </w:rPr>
              <w:t>2</w:t>
            </w:r>
            <w:r>
              <w:rPr>
                <w:rFonts w:hint="eastAsia"/>
                <w:szCs w:val="21"/>
              </w:rPr>
              <w:t>项：固废排放、火灾，评价符合程序要求及公司的实际情况。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t>7. 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w:t>
            </w:r>
            <w:r>
              <w:rPr>
                <w:szCs w:val="21"/>
              </w:rPr>
              <w:t>,</w:t>
            </w:r>
            <w:r>
              <w:rPr>
                <w:rFonts w:hint="eastAsia"/>
                <w:szCs w:val="21"/>
              </w:rPr>
              <w:t>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w:t>
            </w:r>
            <w:r>
              <w:rPr>
                <w:szCs w:val="21"/>
              </w:rPr>
              <w:t xml:space="preserve"> </w:t>
            </w:r>
            <w:r>
              <w:rPr>
                <w:rFonts w:hint="eastAsia"/>
                <w:szCs w:val="21"/>
              </w:rPr>
              <w:t>评价考虑了将来、状态、可能导致的事件，并进行了评价，用打分法考虑了法规符合性、发生频次、影响范围等</w:t>
            </w:r>
            <w:r>
              <w:rPr>
                <w:szCs w:val="21"/>
              </w:rPr>
              <w:t xml:space="preserve">, </w:t>
            </w:r>
            <w:r>
              <w:rPr>
                <w:rFonts w:hint="eastAsia"/>
                <w:szCs w:val="21"/>
              </w:rPr>
              <w:t>通过是非法，共识别出不可接受风险</w:t>
            </w:r>
            <w:r>
              <w:rPr>
                <w:szCs w:val="21"/>
              </w:rPr>
              <w:t>2</w:t>
            </w:r>
            <w:r>
              <w:rPr>
                <w:rFonts w:hint="eastAsia"/>
                <w:szCs w:val="21"/>
              </w:rPr>
              <w:t>项，涉及：火灾和触电</w:t>
            </w:r>
            <w:r>
              <w:rPr>
                <w:rFonts w:hint="eastAsia"/>
                <w:szCs w:val="21"/>
                <w:lang w:eastAsia="zh-CN"/>
              </w:rPr>
              <w:t>、</w:t>
            </w:r>
            <w:r>
              <w:rPr>
                <w:rFonts w:hint="eastAsia"/>
                <w:szCs w:val="21"/>
                <w:lang w:val="en-US" w:eastAsia="zh-CN"/>
              </w:rPr>
              <w:t>机械伤害</w:t>
            </w:r>
            <w:bookmarkStart w:id="25" w:name="_GoBack"/>
            <w:bookmarkEnd w:id="25"/>
            <w:r>
              <w:rPr>
                <w:rFonts w:hint="eastAsia"/>
                <w:szCs w:val="21"/>
              </w:rPr>
              <w:t>，评价符合程序要求及公司的实际情况。对危险源的控制措施包括制定管理制度、监督检查、应急预案、培训等。</w:t>
            </w:r>
          </w:p>
          <w:p>
            <w:pPr>
              <w:pStyle w:val="14"/>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w:t>
            </w:r>
            <w:r>
              <w:rPr>
                <w:rFonts w:ascii="宋体" w:hAnsi="宋体"/>
                <w:b/>
                <w:color w:val="000000"/>
                <w:szCs w:val="21"/>
              </w:rPr>
              <w:t>80</w:t>
            </w:r>
            <w:r>
              <w:rPr>
                <w:rFonts w:hint="eastAsia" w:ascii="宋体" w:hAnsi="宋体"/>
                <w:b/>
                <w:color w:val="000000"/>
                <w:szCs w:val="21"/>
              </w:rPr>
              <w:t>项，■法律法规获取充分，□法律法规获取有遗漏，缺少</w:t>
            </w:r>
          </w:p>
          <w:p>
            <w:pPr>
              <w:tabs>
                <w:tab w:val="left" w:pos="540"/>
              </w:tabs>
              <w:spacing w:line="300" w:lineRule="exact"/>
              <w:ind w:left="1" w:leftChars="-43" w:hanging="104" w:hangingChars="43"/>
              <w:rPr>
                <w:rFonts w:ascii="宋体"/>
                <w:b/>
                <w:color w:val="000000"/>
                <w:szCs w:val="21"/>
                <w:u w:val="single"/>
              </w:rPr>
            </w:pPr>
          </w:p>
          <w:p>
            <w:pPr>
              <w:pStyle w:val="12"/>
              <w:numPr>
                <w:ilvl w:val="0"/>
                <w:numId w:val="3"/>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pStyle w:val="15"/>
              <w:numPr>
                <w:ilvl w:val="0"/>
                <w:numId w:val="3"/>
              </w:numPr>
              <w:tabs>
                <w:tab w:val="left" w:pos="540"/>
              </w:tabs>
              <w:spacing w:line="300" w:lineRule="exact"/>
              <w:ind w:firstLineChars="0"/>
              <w:rPr>
                <w:rFonts w:ascii="宋体"/>
                <w:szCs w:val="21"/>
              </w:rPr>
            </w:pPr>
            <w:r>
              <w:rPr>
                <w:rFonts w:hint="eastAsia" w:ascii="宋体" w:hAnsi="宋体"/>
                <w:b/>
                <w:color w:val="000000"/>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b/>
                <w:szCs w:val="21"/>
              </w:rPr>
            </w:pPr>
            <w:r>
              <w:rPr>
                <w:rFonts w:hint="eastAsia" w:ascii="宋体" w:hAnsi="宋体"/>
                <w:b/>
                <w:color w:val="000000"/>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szCs w:val="21"/>
              </w:rPr>
            </w:pPr>
          </w:p>
          <w:p>
            <w:pPr>
              <w:tabs>
                <w:tab w:val="left" w:pos="540"/>
              </w:tabs>
              <w:spacing w:line="240" w:lineRule="exact"/>
              <w:rPr>
                <w:rFonts w:ascii="宋体" w:hAnsi="宋体"/>
                <w:b/>
                <w:sz w:val="21"/>
                <w:szCs w:val="21"/>
              </w:rPr>
            </w:pPr>
            <w:r>
              <w:rPr>
                <w:rFonts w:hint="eastAsia"/>
                <w:szCs w:val="21"/>
              </w:rPr>
              <w:t>文审文件符合标准要求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pStyle w:val="14"/>
            </w:pPr>
          </w:p>
          <w:p>
            <w:pPr>
              <w:spacing w:line="300" w:lineRule="exact"/>
              <w:rPr>
                <w:rFonts w:ascii="宋体" w:hAnsi="宋体"/>
                <w:b/>
                <w:sz w:val="21"/>
                <w:szCs w:val="21"/>
              </w:rPr>
            </w:pPr>
            <w:r>
              <w:rPr>
                <w:rFonts w:hint="eastAsia"/>
                <w:bCs/>
                <w:szCs w:val="21"/>
              </w:rPr>
              <w:t>该公司员工共</w:t>
            </w:r>
            <w:r>
              <w:rPr>
                <w:bCs/>
                <w:szCs w:val="21"/>
              </w:rPr>
              <w:t>15</w:t>
            </w:r>
            <w:r>
              <w:rPr>
                <w:rFonts w:hint="eastAsia"/>
                <w:bCs/>
                <w:szCs w:val="21"/>
              </w:rPr>
              <w:t>人，管理人</w:t>
            </w:r>
            <w:r>
              <w:rPr>
                <w:bCs/>
                <w:szCs w:val="21"/>
              </w:rPr>
              <w:t>2</w:t>
            </w:r>
            <w:r>
              <w:rPr>
                <w:rFonts w:hint="eastAsia"/>
                <w:bCs/>
                <w:szCs w:val="21"/>
              </w:rPr>
              <w:t>人。有专业的</w:t>
            </w:r>
            <w:r>
              <w:rPr>
                <w:rFonts w:hint="eastAsia" w:ascii="宋体" w:hAnsi="宋体"/>
                <w:szCs w:val="21"/>
              </w:rPr>
              <w:t>电解设备的维修</w:t>
            </w:r>
            <w:r>
              <w:rPr>
                <w:rFonts w:hint="eastAsia" w:ascii="宋体" w:hAnsi="宋体"/>
                <w:sz w:val="24"/>
              </w:rPr>
              <w:t>服务</w:t>
            </w:r>
            <w:r>
              <w:rPr>
                <w:rFonts w:hint="eastAsia"/>
                <w:bCs/>
                <w:szCs w:val="21"/>
              </w:rPr>
              <w:t>人员，能满足</w:t>
            </w:r>
            <w:r>
              <w:rPr>
                <w:rFonts w:hint="eastAsia" w:ascii="宋体" w:hAnsi="宋体"/>
                <w:szCs w:val="21"/>
              </w:rPr>
              <w:t>电解设备的维修</w:t>
            </w:r>
            <w:r>
              <w:rPr>
                <w:rFonts w:hint="eastAsia" w:ascii="宋体" w:hAnsi="宋体"/>
                <w:sz w:val="24"/>
              </w:rPr>
              <w:t>服务</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pStyle w:val="14"/>
              <w:rPr>
                <w:rFonts w:cs="Lucida Sans"/>
                <w:b/>
                <w:bCs w:val="0"/>
                <w:spacing w:val="0"/>
                <w:szCs w:val="20"/>
              </w:rPr>
            </w:pPr>
            <w:r>
              <w:rPr>
                <w:rFonts w:hint="eastAsia" w:cs="Lucida Sans"/>
                <w:b/>
                <w:szCs w:val="20"/>
              </w:rPr>
              <w:t>设备有：</w:t>
            </w:r>
            <w:r>
              <w:rPr>
                <w:rFonts w:hint="eastAsia" w:cs="Lucida Sans"/>
                <w:b/>
                <w:bCs w:val="0"/>
                <w:spacing w:val="0"/>
                <w:szCs w:val="20"/>
              </w:rPr>
              <w:t>剪板机</w:t>
            </w:r>
            <w:r>
              <w:rPr>
                <w:rFonts w:cs="Lucida Sans"/>
                <w:b/>
                <w:bCs w:val="0"/>
                <w:spacing w:val="0"/>
                <w:szCs w:val="20"/>
              </w:rPr>
              <w:tab/>
            </w:r>
            <w:r>
              <w:rPr>
                <w:rFonts w:hint="eastAsia" w:cs="Lucida Sans"/>
                <w:b/>
                <w:bCs w:val="0"/>
                <w:spacing w:val="0"/>
                <w:szCs w:val="20"/>
              </w:rPr>
              <w:t>折弯机</w:t>
            </w:r>
            <w:r>
              <w:rPr>
                <w:rFonts w:cs="Lucida Sans"/>
                <w:b/>
                <w:bCs w:val="0"/>
                <w:spacing w:val="0"/>
                <w:szCs w:val="20"/>
              </w:rPr>
              <w:tab/>
            </w:r>
            <w:r>
              <w:rPr>
                <w:rFonts w:hint="eastAsia" w:cs="Lucida Sans"/>
                <w:b/>
                <w:bCs w:val="0"/>
                <w:spacing w:val="0"/>
                <w:szCs w:val="20"/>
              </w:rPr>
              <w:t>无弧点焊机</w:t>
            </w:r>
            <w:r>
              <w:rPr>
                <w:rFonts w:cs="Lucida Sans"/>
                <w:b/>
                <w:bCs w:val="0"/>
                <w:spacing w:val="0"/>
                <w:szCs w:val="20"/>
              </w:rPr>
              <w:t xml:space="preserve"> </w:t>
            </w:r>
            <w:r>
              <w:rPr>
                <w:rFonts w:hint="eastAsia" w:cs="Lucida Sans"/>
                <w:b/>
                <w:bCs w:val="0"/>
                <w:spacing w:val="0"/>
                <w:szCs w:val="20"/>
              </w:rPr>
              <w:t>极高尺</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检查灯箱</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检漏平台</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光谱仪</w:t>
            </w:r>
          </w:p>
          <w:p>
            <w:pPr>
              <w:rPr>
                <w:rFonts w:cs="Lucida Sans"/>
                <w:b/>
                <w:szCs w:val="20"/>
              </w:rPr>
            </w:pPr>
            <w:r>
              <w:rPr>
                <w:rFonts w:hint="eastAsia" w:ascii="黑体" w:hAnsi="黑体" w:eastAsia="黑体" w:cs="黑体"/>
                <w:color w:val="000000"/>
                <w:szCs w:val="21"/>
              </w:rPr>
              <w:t>办公设备</w:t>
            </w:r>
            <w:r>
              <w:rPr>
                <w:rFonts w:ascii="黑体" w:hAnsi="黑体" w:eastAsia="黑体" w:cs="黑体"/>
                <w:color w:val="000000"/>
                <w:szCs w:val="21"/>
              </w:rPr>
              <w:t>:</w:t>
            </w:r>
            <w:r>
              <w:rPr>
                <w:rFonts w:hint="eastAsia" w:ascii="黑体" w:hAnsi="黑体" w:eastAsia="黑体" w:cs="黑体"/>
                <w:color w:val="000000"/>
                <w:szCs w:val="21"/>
              </w:rPr>
              <w:t>电脑</w:t>
            </w:r>
            <w:r>
              <w:rPr>
                <w:rFonts w:ascii="黑体" w:hAnsi="黑体" w:eastAsia="黑体" w:cs="黑体"/>
                <w:color w:val="000000"/>
                <w:szCs w:val="21"/>
              </w:rPr>
              <w:t>/</w:t>
            </w:r>
            <w:r>
              <w:rPr>
                <w:rFonts w:hint="eastAsia" w:ascii="黑体" w:hAnsi="黑体" w:eastAsia="黑体" w:cs="黑体"/>
                <w:color w:val="000000"/>
                <w:szCs w:val="21"/>
              </w:rPr>
              <w:t>打印机</w:t>
            </w:r>
            <w:r>
              <w:rPr>
                <w:rFonts w:ascii="黑体" w:hAnsi="黑体" w:eastAsia="黑体" w:cs="黑体"/>
                <w:color w:val="000000"/>
                <w:szCs w:val="21"/>
              </w:rPr>
              <w:t>/</w:t>
            </w:r>
            <w:r>
              <w:rPr>
                <w:rFonts w:hint="eastAsia" w:ascii="黑体" w:hAnsi="黑体" w:eastAsia="黑体" w:cs="黑体"/>
                <w:color w:val="000000"/>
                <w:szCs w:val="21"/>
              </w:rPr>
              <w:t>传真机</w:t>
            </w:r>
            <w:r>
              <w:rPr>
                <w:rFonts w:ascii="黑体" w:hAnsi="黑体" w:eastAsia="黑体" w:cs="黑体"/>
                <w:color w:val="000000"/>
                <w:szCs w:val="21"/>
              </w:rPr>
              <w:t>/</w:t>
            </w:r>
            <w:r>
              <w:rPr>
                <w:rFonts w:hint="eastAsia" w:ascii="黑体" w:hAnsi="黑体" w:eastAsia="黑体" w:cs="黑体"/>
                <w:color w:val="000000"/>
                <w:szCs w:val="21"/>
              </w:rPr>
              <w:t>电话等</w:t>
            </w:r>
            <w:r>
              <w:rPr>
                <w:rFonts w:hint="eastAsia" w:cs="Lucida Sans"/>
                <w:b/>
                <w:szCs w:val="20"/>
              </w:rPr>
              <w:t>。提供维修保养计划及记录，满足要求。</w:t>
            </w:r>
          </w:p>
          <w:p>
            <w:r>
              <w:rPr>
                <w:rFonts w:hint="eastAsia" w:cs="Lucida Sans"/>
                <w:b/>
                <w:szCs w:val="20"/>
              </w:rPr>
              <w:t>环保设施包括：垃圾桶、消防设施；安全设施配置主要有：标识牌、灭火器、消防器材等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监视和测量资源</w:t>
            </w:r>
          </w:p>
          <w:p>
            <w:pPr>
              <w:pStyle w:val="14"/>
              <w:rPr>
                <w:rFonts w:cs="Lucida Sans"/>
                <w:b/>
                <w:bCs w:val="0"/>
                <w:spacing w:val="0"/>
                <w:szCs w:val="20"/>
              </w:rPr>
            </w:pPr>
            <w:r>
              <w:rPr>
                <w:rFonts w:cs="Lucida Sans"/>
                <w:b/>
                <w:bCs w:val="0"/>
                <w:spacing w:val="0"/>
                <w:szCs w:val="20"/>
              </w:rPr>
              <w:t xml:space="preserve"> </w:t>
            </w:r>
            <w:r>
              <w:rPr>
                <w:rFonts w:hint="eastAsia" w:cs="Lucida Sans"/>
                <w:b/>
                <w:bCs w:val="0"/>
                <w:spacing w:val="0"/>
                <w:szCs w:val="20"/>
                <w:lang w:eastAsia="zh-CN"/>
              </w:rPr>
              <w:t>监测设备有：</w:t>
            </w:r>
            <w:r>
              <w:rPr>
                <w:rFonts w:hint="eastAsia" w:cs="Lucida Sans"/>
                <w:b/>
                <w:bCs w:val="0"/>
                <w:spacing w:val="0"/>
                <w:szCs w:val="20"/>
              </w:rPr>
              <w:t>极高尺</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检查灯箱</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检漏平台</w:t>
            </w:r>
            <w:r>
              <w:rPr>
                <w:rFonts w:hint="eastAsia" w:cs="Lucida Sans"/>
                <w:b/>
                <w:bCs w:val="0"/>
                <w:spacing w:val="0"/>
                <w:szCs w:val="20"/>
                <w:lang w:eastAsia="zh-CN"/>
              </w:rPr>
              <w:t>（自制）</w:t>
            </w:r>
            <w:r>
              <w:rPr>
                <w:rFonts w:cs="Lucida Sans"/>
                <w:b/>
                <w:bCs w:val="0"/>
                <w:spacing w:val="0"/>
                <w:szCs w:val="20"/>
              </w:rPr>
              <w:t xml:space="preserve"> </w:t>
            </w:r>
            <w:r>
              <w:rPr>
                <w:rFonts w:hint="eastAsia" w:cs="Lucida Sans"/>
                <w:b/>
                <w:bCs w:val="0"/>
                <w:spacing w:val="0"/>
                <w:szCs w:val="20"/>
              </w:rPr>
              <w:t>光谱仪</w:t>
            </w:r>
          </w:p>
          <w:p>
            <w:pPr>
              <w:spacing w:line="240" w:lineRule="exact"/>
              <w:rPr>
                <w:rFonts w:ascii="宋体" w:hAnsi="宋体"/>
                <w:b/>
                <w:sz w:val="21"/>
                <w:szCs w:val="21"/>
              </w:rPr>
            </w:pPr>
            <w:r>
              <w:rPr>
                <w:rFonts w:hint="eastAsia"/>
              </w:rPr>
              <w:t>编制有</w:t>
            </w:r>
            <w:r>
              <w:rPr>
                <w:rFonts w:hint="eastAsia" w:ascii="宋体" w:hAnsi="宋体"/>
                <w:szCs w:val="21"/>
              </w:rPr>
              <w:t>电解设备的维修</w:t>
            </w:r>
            <w:r>
              <w:rPr>
                <w:rFonts w:hint="eastAsia"/>
              </w:rPr>
              <w:t>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color w:val="000000"/>
                <w:sz w:val="20"/>
                <w:szCs w:val="20"/>
              </w:rPr>
            </w:pPr>
            <w:r>
              <w:rPr>
                <w:rFonts w:hint="eastAsia"/>
              </w:rPr>
              <w:t>配备有</w:t>
            </w:r>
            <w:r>
              <w:rPr>
                <w:rFonts w:hint="eastAsia" w:cs="Lucida Sans"/>
                <w:b/>
                <w:szCs w:val="20"/>
              </w:rPr>
              <w:t>拖把、垃圾桶、等</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配备有灭火器、消防栓等环保设施。</w:t>
            </w:r>
          </w:p>
          <w:p>
            <w:pPr>
              <w:pStyle w:val="14"/>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b/>
                <w:bCs/>
              </w:rPr>
              <w:t xml:space="preserve">1. </w:t>
            </w:r>
            <w:r>
              <w:rPr>
                <w:rFonts w:hint="eastAsia"/>
                <w:b/>
                <w:bCs/>
              </w:rPr>
              <w:t>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14"/>
              <w:rPr>
                <w:b/>
                <w:color w:val="000000"/>
                <w:sz w:val="20"/>
                <w:szCs w:val="20"/>
              </w:rPr>
            </w:pPr>
          </w:p>
          <w:p>
            <w:pPr>
              <w:spacing w:line="300" w:lineRule="exact"/>
              <w:ind w:left="1"/>
              <w:rPr>
                <w:b/>
                <w:color w:val="000000"/>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4"/>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spacing w:line="240" w:lineRule="exact"/>
              <w:rPr>
                <w:rFonts w:ascii="KaiTi_GB2312" w:eastAsia="KaiTi_GB2312"/>
                <w:b/>
                <w:color w:val="000000"/>
                <w:sz w:val="20"/>
                <w:szCs w:val="20"/>
              </w:rPr>
            </w:pPr>
          </w:p>
          <w:p>
            <w:pPr>
              <w:spacing w:line="240" w:lineRule="exact"/>
              <w:rPr>
                <w:bCs/>
                <w:szCs w:val="21"/>
              </w:rPr>
            </w:pPr>
            <w:r>
              <w:rPr>
                <w:rFonts w:hint="eastAsia" w:ascii="KaiTi_GB2312" w:eastAsia="KaiTi_GB2312"/>
                <w:b/>
                <w:szCs w:val="21"/>
              </w:rPr>
              <w:t>组织对外联络，关注顾客的感受情况（</w:t>
            </w:r>
            <w:r>
              <w:rPr>
                <w:rFonts w:ascii="KaiTi_GB2312" w:eastAsia="KaiTi_GB2312"/>
                <w:b/>
                <w:szCs w:val="21"/>
              </w:rPr>
              <w:t>QMS</w:t>
            </w:r>
            <w:r>
              <w:rPr>
                <w:rFonts w:hint="eastAsia" w:ascii="KaiTi_GB2312" w:eastAsia="KaiTi_GB2312"/>
                <w:b/>
                <w:szCs w:val="21"/>
              </w:rPr>
              <w:t>）：</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KaiTi_GB2312" w:eastAsia="KaiTi_GB2312"/>
                <w:b/>
                <w:szCs w:val="21"/>
              </w:rPr>
            </w:pPr>
            <w:r>
              <w:rPr>
                <w:rFonts w:hint="eastAsia" w:ascii="KaiTi_GB2312" w:eastAsia="KaiTi_GB2312"/>
                <w:b/>
                <w:szCs w:val="21"/>
              </w:rPr>
              <w:t>外部信息的接收、成文并答复的情况（</w:t>
            </w:r>
            <w:r>
              <w:rPr>
                <w:rFonts w:ascii="KaiTi_GB2312" w:eastAsia="KaiTi_GB2312"/>
                <w:b/>
                <w:szCs w:val="21"/>
              </w:rPr>
              <w:t>E</w:t>
            </w:r>
            <w:r>
              <w:rPr>
                <w:rFonts w:hint="eastAsia" w:ascii="KaiTi_GB2312" w:eastAsia="KaiTi_GB2312"/>
                <w:b/>
                <w:szCs w:val="21"/>
              </w:rPr>
              <w:t>、</w:t>
            </w:r>
            <w:r>
              <w:rPr>
                <w:rFonts w:ascii="KaiTi_GB2312" w:eastAsia="KaiTi_GB2312"/>
                <w:b/>
                <w:szCs w:val="21"/>
              </w:rPr>
              <w:t>S</w:t>
            </w:r>
            <w:r>
              <w:rPr>
                <w:rFonts w:hint="eastAsia" w:ascii="KaiTi_GB2312" w:eastAsia="KaiTi_GB2312"/>
                <w:b/>
                <w:szCs w:val="21"/>
              </w:rPr>
              <w:t>填写）：</w:t>
            </w:r>
            <w:r>
              <w:rPr>
                <w:rFonts w:hint="eastAsia"/>
                <w:bCs/>
                <w:szCs w:val="21"/>
              </w:rPr>
              <w:t>进行接收、答复，但未进行记录</w:t>
            </w:r>
          </w:p>
          <w:p>
            <w:pPr>
              <w:spacing w:line="240" w:lineRule="exact"/>
              <w:rPr>
                <w:rFonts w:ascii="KaiTi_GB2312" w:eastAsia="KaiTi_GB2312"/>
                <w:b/>
                <w:szCs w:val="21"/>
              </w:rPr>
            </w:pPr>
          </w:p>
          <w:p>
            <w:pPr>
              <w:spacing w:line="240" w:lineRule="exact"/>
              <w:rPr>
                <w:rFonts w:ascii="KaiTi_GB2312" w:eastAsia="KaiTi_GB2312"/>
                <w:b/>
                <w:szCs w:val="21"/>
              </w:rPr>
            </w:pPr>
            <w:r>
              <w:rPr>
                <w:rFonts w:hint="eastAsia" w:ascii="KaiTi_GB2312" w:eastAsia="KaiTi_GB2312"/>
                <w:b/>
                <w:szCs w:val="21"/>
              </w:rPr>
              <w:t>重要环境因素信息对外交流情况（</w:t>
            </w:r>
            <w:r>
              <w:rPr>
                <w:rFonts w:ascii="KaiTi_GB2312" w:eastAsia="KaiTi_GB2312"/>
                <w:b/>
                <w:szCs w:val="21"/>
              </w:rPr>
              <w:t>EMS</w:t>
            </w:r>
            <w:r>
              <w:rPr>
                <w:rFonts w:hint="eastAsia" w:ascii="KaiTi_GB2312" w:eastAsia="KaiTi_GB2312"/>
                <w:b/>
                <w:szCs w:val="21"/>
              </w:rPr>
              <w:t>填写）：</w:t>
            </w:r>
            <w:r>
              <w:rPr>
                <w:rFonts w:hint="eastAsia"/>
                <w:bCs/>
                <w:szCs w:val="21"/>
              </w:rPr>
              <w:t>对相关方进行了书面告知，见到相关方告知书。内容符合标准要求</w:t>
            </w:r>
          </w:p>
          <w:p>
            <w:pPr>
              <w:spacing w:line="240" w:lineRule="exact"/>
              <w:rPr>
                <w:rFonts w:ascii="KaiTi_GB2312" w:eastAsia="KaiTi_GB2312"/>
                <w:b/>
                <w:szCs w:val="21"/>
              </w:rPr>
            </w:pPr>
          </w:p>
          <w:p>
            <w:pPr>
              <w:spacing w:line="240" w:lineRule="exact"/>
              <w:rPr>
                <w:bCs/>
                <w:szCs w:val="21"/>
              </w:rPr>
            </w:pPr>
            <w:r>
              <w:rPr>
                <w:rFonts w:ascii="KaiTi_GB2312" w:eastAsia="KaiTi_GB2312"/>
                <w:b/>
                <w:szCs w:val="21"/>
              </w:rPr>
              <w:t>OHSMS</w:t>
            </w:r>
            <w:r>
              <w:rPr>
                <w:rFonts w:hint="eastAsia" w:ascii="KaiTi_GB2312" w:eastAsia="KaiTi_GB2312"/>
                <w:b/>
                <w:szCs w:val="21"/>
              </w:rPr>
              <w:t>事务代表协商和交流的情况（</w:t>
            </w:r>
            <w:r>
              <w:rPr>
                <w:rFonts w:ascii="KaiTi_GB2312" w:eastAsia="KaiTi_GB2312"/>
                <w:b/>
                <w:szCs w:val="21"/>
              </w:rPr>
              <w:t>OHSMS</w:t>
            </w:r>
            <w:r>
              <w:rPr>
                <w:rFonts w:hint="eastAsia" w:ascii="KaiTi_GB2312" w:eastAsia="KaiTi_GB2312"/>
                <w:b/>
                <w:szCs w:val="21"/>
              </w:rPr>
              <w:t>填写）：</w:t>
            </w:r>
            <w:r>
              <w:rPr>
                <w:rFonts w:hint="eastAsia"/>
                <w:bCs/>
                <w:szCs w:val="21"/>
              </w:rPr>
              <w:t>，参与了体系文件的制定，每年召开一次员工代表会议。但未保留记录</w:t>
            </w:r>
          </w:p>
          <w:p>
            <w:pPr>
              <w:spacing w:line="240" w:lineRule="exact"/>
              <w:rPr>
                <w:rFonts w:ascii="KaiTi_GB2312" w:eastAsia="KaiTi_GB2312"/>
                <w:b/>
                <w:szCs w:val="21"/>
              </w:rPr>
            </w:pPr>
          </w:p>
          <w:p>
            <w:pPr>
              <w:spacing w:line="240" w:lineRule="exact"/>
              <w:rPr>
                <w:rFonts w:ascii="宋体" w:hAnsi="宋体"/>
                <w:b/>
                <w:sz w:val="21"/>
                <w:szCs w:val="21"/>
              </w:rPr>
            </w:pPr>
            <w:r>
              <w:rPr>
                <w:rFonts w:hint="eastAsia" w:ascii="KaiTi_GB2312" w:eastAsia="KaiTi_GB2312"/>
                <w:b/>
                <w:szCs w:val="21"/>
              </w:rPr>
              <w:t>与相关方协商的情况（</w:t>
            </w:r>
            <w:r>
              <w:rPr>
                <w:rFonts w:ascii="KaiTi_GB2312" w:eastAsia="KaiTi_GB2312"/>
                <w:b/>
                <w:szCs w:val="21"/>
              </w:rPr>
              <w:t>OHSMS</w:t>
            </w:r>
            <w:r>
              <w:rPr>
                <w:rFonts w:hint="eastAsia" w:ascii="KaiTi_GB2312" w:eastAsia="KaiTi_GB2312"/>
                <w:b/>
                <w:szCs w:val="21"/>
              </w:rPr>
              <w:t>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201"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pStyle w:val="14"/>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ascii="宋体" w:hAnsi="宋体"/>
                <w:lang w:val="en-US" w:eastAsia="zh-CN"/>
              </w:rPr>
              <w:t>电解设备的维修过程</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r>
              <w:rPr>
                <w:rFonts w:hint="eastAsia"/>
              </w:rPr>
              <w:t>。</w:t>
            </w:r>
            <w: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300" w:lineRule="exact"/>
              <w:rPr>
                <w:b/>
                <w:color w:val="000000"/>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01" w:firstLineChars="100"/>
              <w:rPr>
                <w:b/>
                <w:color w:val="000000"/>
                <w:sz w:val="20"/>
                <w:szCs w:val="20"/>
              </w:rPr>
            </w:pPr>
            <w:r>
              <w:rPr>
                <w:b/>
                <w:color w:val="000000"/>
                <w:sz w:val="20"/>
                <w:szCs w:val="20"/>
              </w:rPr>
              <w:t xml:space="preserve"> </w:t>
            </w:r>
            <w:r>
              <w:rPr>
                <w:rFonts w:hint="eastAsia"/>
                <w:b/>
                <w:color w:val="000000"/>
                <w:sz w:val="20"/>
                <w:szCs w:val="20"/>
              </w:rPr>
              <w:t>无</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t xml:space="preserve">6. </w:t>
            </w:r>
            <w:r>
              <w:rPr>
                <w:rFonts w:hint="eastAsia"/>
              </w:rPr>
              <w:t>不合格品</w:t>
            </w:r>
            <w:r>
              <w:t>/</w:t>
            </w:r>
            <w:r>
              <w:rPr>
                <w:rFonts w:hint="eastAsia"/>
              </w:rPr>
              <w:t>项的识别、控制</w:t>
            </w:r>
            <w:r>
              <w:t>;</w:t>
            </w:r>
          </w:p>
          <w:p>
            <w:pPr>
              <w:spacing w:line="240" w:lineRule="exact"/>
            </w:pPr>
          </w:p>
          <w:p>
            <w:pPr>
              <w:pStyle w:val="14"/>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spacing w:line="240" w:lineRule="exact"/>
              <w:rPr>
                <w:b/>
                <w:color w:val="000000"/>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8. OHS </w:t>
            </w:r>
            <w:r>
              <w:rPr>
                <w:rFonts w:hint="eastAsia"/>
                <w:b/>
                <w:color w:val="000000"/>
                <w:sz w:val="20"/>
                <w:szCs w:val="20"/>
              </w:rPr>
              <w:t>组织对不可接受风险实施控制的结果</w:t>
            </w:r>
          </w:p>
          <w:p>
            <w:pPr>
              <w:spacing w:line="240" w:lineRule="exact"/>
              <w:rPr>
                <w:b/>
                <w:color w:val="000000"/>
                <w:sz w:val="20"/>
                <w:szCs w:val="20"/>
              </w:rPr>
            </w:pPr>
          </w:p>
          <w:p>
            <w:pPr>
              <w:spacing w:line="240" w:lineRule="exact"/>
              <w:rPr>
                <w:rFonts w:ascii="宋体" w:hAnsi="宋体"/>
                <w:b/>
                <w:sz w:val="21"/>
                <w:szCs w:val="21"/>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spacing w:line="240" w:lineRule="exact"/>
              <w:rPr>
                <w:b/>
                <w:color w:val="000000"/>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w:t>
            </w:r>
            <w:r>
              <w:rPr>
                <w:b/>
                <w:color w:val="000000"/>
                <w:sz w:val="20"/>
                <w:szCs w:val="20"/>
              </w:rPr>
              <w:t xml:space="preserve">; </w:t>
            </w:r>
            <w:r>
              <w:rPr>
                <w:rFonts w:hint="eastAsia"/>
                <w:b/>
                <w:sz w:val="20"/>
                <w:szCs w:val="20"/>
              </w:rPr>
              <w:t>（适用时）</w:t>
            </w:r>
          </w:p>
          <w:p>
            <w:pPr>
              <w:spacing w:line="240" w:lineRule="exact"/>
              <w:rPr>
                <w:b/>
                <w:color w:val="000000"/>
                <w:sz w:val="20"/>
                <w:szCs w:val="20"/>
              </w:rPr>
            </w:pPr>
          </w:p>
          <w:p>
            <w:pPr>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 xml:space="preserve">); </w:t>
            </w:r>
            <w:r>
              <w:rPr>
                <w:rFonts w:hint="eastAsia"/>
                <w:b/>
                <w:bCs/>
              </w:rPr>
              <w:t>（适用时）</w:t>
            </w:r>
          </w:p>
          <w:p>
            <w:pPr>
              <w:pStyle w:val="14"/>
              <w:rPr>
                <w:b/>
                <w:sz w:val="20"/>
                <w:szCs w:val="20"/>
              </w:rPr>
            </w:pPr>
          </w:p>
          <w:p>
            <w:pPr>
              <w:pStyle w:val="14"/>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0" w:firstLineChars="50"/>
              <w:rPr>
                <w:b/>
                <w:color w:val="000000"/>
                <w:sz w:val="20"/>
                <w:szCs w:val="20"/>
              </w:rPr>
            </w:pPr>
          </w:p>
          <w:p>
            <w:pPr>
              <w:spacing w:line="240" w:lineRule="exact"/>
              <w:ind w:firstLine="120"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2020年1-6</w:t>
            </w:r>
            <w:r>
              <w:rPr>
                <w:rFonts w:hint="eastAsia"/>
              </w:rPr>
              <w:t>月目标的测量，总体已达到或超过了规定的目标值。</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spacing w:line="240" w:lineRule="exact"/>
              <w:ind w:left="100" w:hanging="100" w:hangingChars="50"/>
              <w:rPr>
                <w:b/>
                <w:color w:val="000000"/>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240" w:lineRule="exact"/>
              <w:rPr>
                <w:b/>
                <w:color w:val="000000"/>
                <w:spacing w:val="-8"/>
                <w:sz w:val="20"/>
                <w:szCs w:val="20"/>
              </w:rPr>
            </w:pPr>
          </w:p>
          <w:p>
            <w:pPr>
              <w:spacing w:line="240" w:lineRule="exact"/>
              <w:rPr>
                <w:b/>
                <w:color w:val="000000"/>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240" w:lineRule="exact"/>
              <w:rPr>
                <w:b/>
                <w:color w:val="000000"/>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r>
              <w:rPr>
                <w:b/>
                <w:color w:val="000000"/>
                <w:sz w:val="20"/>
                <w:szCs w:val="20"/>
              </w:rPr>
              <w:t xml:space="preserve"> </w:t>
            </w:r>
          </w:p>
          <w:p>
            <w:pPr>
              <w:spacing w:line="240" w:lineRule="exact"/>
              <w:rPr>
                <w:b/>
                <w:color w:val="000000"/>
                <w:sz w:val="20"/>
                <w:szCs w:val="20"/>
              </w:rPr>
            </w:pPr>
          </w:p>
          <w:p>
            <w:pPr>
              <w:spacing w:line="240" w:lineRule="exact"/>
              <w:rPr>
                <w:b/>
                <w:color w:val="000000"/>
                <w:sz w:val="20"/>
                <w:szCs w:val="20"/>
              </w:rPr>
            </w:pPr>
          </w:p>
          <w:p>
            <w:pPr>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p>
          <w:p>
            <w:pPr>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rPr>
                <w:rFonts w:ascii="宋体" w:hAnsi="宋体"/>
                <w:b/>
                <w:sz w:val="21"/>
                <w:szCs w:val="21"/>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spacing w:line="240" w:lineRule="exact"/>
              <w:rPr>
                <w:b/>
                <w:color w:val="000000"/>
                <w:sz w:val="20"/>
                <w:szCs w:val="20"/>
              </w:rPr>
            </w:pP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before="120" w:line="16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before="120" w:line="160" w:lineRule="exact"/>
              <w:ind w:leftChars="0"/>
              <w:rPr>
                <w:rFonts w:hint="default" w:ascii="方正仿宋简体" w:eastAsia="方正仿宋简体"/>
                <w:b/>
                <w:color w:val="auto"/>
                <w:lang w:val="en-US" w:eastAsia="zh-CN"/>
              </w:rPr>
            </w:pPr>
            <w:r>
              <w:rPr>
                <w:rFonts w:hint="eastAsia" w:ascii="方正仿宋简体" w:eastAsia="方正仿宋简体"/>
                <w:b/>
                <w:color w:val="auto"/>
                <w:lang w:val="en-US" w:eastAsia="zh-CN"/>
              </w:rPr>
              <w:t>初审不符合:</w:t>
            </w:r>
            <w:r>
              <w:rPr>
                <w:rFonts w:hint="eastAsia" w:ascii="方正仿宋简体" w:eastAsia="方正仿宋简体"/>
                <w:b/>
                <w:color w:val="auto"/>
                <w:lang w:eastAsia="zh-CN"/>
              </w:rPr>
              <w:t>办公现场没有“严禁烟火”等警示标识</w:t>
            </w:r>
            <w:r>
              <w:rPr>
                <w:rFonts w:hint="eastAsia" w:ascii="方正仿宋简体" w:eastAsia="方正仿宋简体"/>
                <w:b/>
                <w:color w:val="auto"/>
                <w:lang w:val="en-US" w:eastAsia="zh-CN"/>
              </w:rPr>
              <w:t>,本次审核无此现场，整改有效</w:t>
            </w:r>
          </w:p>
          <w:p>
            <w:pPr>
              <w:spacing w:line="240" w:lineRule="exact"/>
              <w:rPr>
                <w:rFonts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北京瑞纳旭邦科技有限公司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0" w:firstLineChars="150"/>
              <w:rPr>
                <w:rFonts w:ascii="宋体" w:hAnsi="宋体"/>
                <w:b/>
                <w:szCs w:val="21"/>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本次现场审核基本达到审核要求，</w:t>
            </w:r>
            <w:r>
              <w:rPr>
                <w:rFonts w:hint="eastAsia"/>
              </w:rPr>
              <w:t>同意</w:t>
            </w:r>
            <w:r>
              <w:rPr>
                <w:rFonts w:hint="eastAsia"/>
                <w:lang w:val="en-US" w:eastAsia="zh-CN"/>
              </w:rPr>
              <w:t>保持</w:t>
            </w:r>
            <w:r>
              <w:rPr>
                <w:rFonts w:hint="eastAsia"/>
              </w:rPr>
              <w:t>认证注册</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inline distT="0" distB="0" distL="114300" distR="114300">
            <wp:extent cx="904875" cy="225425"/>
            <wp:effectExtent l="0" t="0" r="952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25425"/>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1127760" cy="20256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127760" cy="202565"/>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2020.8.14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r>
        <w:drawing>
          <wp:inline distT="0" distB="0" distL="114300" distR="114300">
            <wp:extent cx="904875" cy="225425"/>
            <wp:effectExtent l="0" t="0" r="952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225425"/>
                    </a:xfrm>
                    <a:prstGeom prst="rect">
                      <a:avLst/>
                    </a:prstGeom>
                    <a:noFill/>
                    <a:ln>
                      <a:noFill/>
                    </a:ln>
                  </pic:spPr>
                </pic:pic>
              </a:graphicData>
            </a:graphic>
          </wp:inline>
        </w:drawing>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KaiTi_GB2312">
    <w:altName w:val="楷体"/>
    <w:panose1 w:val="02010609060101010101"/>
    <w:charset w:val="86"/>
    <w:family w:val="modern"/>
    <w:pitch w:val="default"/>
    <w:sig w:usb0="00000000" w:usb1="00000000"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52E6"/>
    <w:multiLevelType w:val="singleLevel"/>
    <w:tmpl w:val="CC9C52E6"/>
    <w:lvl w:ilvl="0" w:tentative="0">
      <w:start w:val="3"/>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06EA223"/>
    <w:multiLevelType w:val="singleLevel"/>
    <w:tmpl w:val="406EA223"/>
    <w:lvl w:ilvl="0" w:tentative="0">
      <w:start w:val="2"/>
      <w:numFmt w:val="decimal"/>
      <w:suff w:val="nothing"/>
      <w:lvlText w:val="%1、"/>
      <w:lvlJc w:val="left"/>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78773683"/>
    <w:multiLevelType w:val="singleLevel"/>
    <w:tmpl w:val="78773683"/>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B06DBF"/>
    <w:rsid w:val="737D6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8"/>
    <w:semiHidden/>
    <w:uiPriority w:val="99"/>
    <w:rPr>
      <w:sz w:val="18"/>
      <w:szCs w:val="18"/>
    </w:rPr>
  </w:style>
  <w:style w:type="paragraph" w:styleId="4">
    <w:name w:val="footer"/>
    <w:basedOn w:val="1"/>
    <w:link w:val="9"/>
    <w:semiHidden/>
    <w:uiPriority w:val="99"/>
    <w:pPr>
      <w:tabs>
        <w:tab w:val="center" w:pos="4153"/>
        <w:tab w:val="right" w:pos="8306"/>
      </w:tabs>
      <w:snapToGrid w:val="0"/>
      <w:jc w:val="left"/>
    </w:pPr>
    <w:rPr>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3"/>
    <w:semiHidden/>
    <w:locked/>
    <w:uiPriority w:val="99"/>
    <w:rPr>
      <w:rFonts w:ascii="Times New Roman" w:hAnsi="Times New Roman" w:eastAsia="宋体" w:cs="Times New Roman"/>
      <w:sz w:val="18"/>
      <w:szCs w:val="18"/>
    </w:rPr>
  </w:style>
  <w:style w:type="character" w:customStyle="1" w:styleId="9">
    <w:name w:val="页脚 Char"/>
    <w:link w:val="4"/>
    <w:semiHidden/>
    <w:locked/>
    <w:uiPriority w:val="99"/>
    <w:rPr>
      <w:rFonts w:ascii="Times New Roman" w:hAnsi="Times New Roman" w:eastAsia="宋体" w:cs="Times New Roman"/>
      <w:sz w:val="18"/>
      <w:szCs w:val="18"/>
    </w:rPr>
  </w:style>
  <w:style w:type="character" w:customStyle="1" w:styleId="10">
    <w:name w:val="页眉 Char"/>
    <w:link w:val="2"/>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uiPriority w:val="99"/>
    <w:pPr>
      <w:spacing w:before="25" w:after="25"/>
    </w:pPr>
    <w:rPr>
      <w:bCs/>
      <w:spacing w:val="10"/>
    </w:rPr>
  </w:style>
  <w:style w:type="paragraph" w:customStyle="1" w:styleId="15">
    <w:name w:val="列出段落1"/>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2020-08-18T11:38:15Z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