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t>█</w:t>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74"/>
        <w:gridCol w:w="1156"/>
        <w:gridCol w:w="1290"/>
        <w:gridCol w:w="1406"/>
        <w:gridCol w:w="1819"/>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226" w:type="dxa"/>
            <w:gridSpan w:val="4"/>
            <w:vAlign w:val="center"/>
          </w:tcPr>
          <w:p>
            <w:pPr>
              <w:snapToGrid w:val="0"/>
              <w:spacing w:line="280" w:lineRule="exact"/>
              <w:jc w:val="center"/>
              <w:rPr>
                <w:b/>
                <w:sz w:val="20"/>
              </w:rPr>
            </w:pPr>
            <w:bookmarkStart w:id="0" w:name="组织名称"/>
            <w:r>
              <w:rPr>
                <w:color w:val="000000"/>
                <w:szCs w:val="21"/>
              </w:rPr>
              <w:t>北京瑞纳旭邦科技有限公司</w:t>
            </w:r>
            <w:bookmarkEnd w:id="0"/>
          </w:p>
        </w:tc>
        <w:tc>
          <w:tcPr>
            <w:tcW w:w="1819"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bookmarkStart w:id="1" w:name="专业代码"/>
            <w:r>
              <w:rPr>
                <w:b/>
                <w:sz w:val="20"/>
              </w:rPr>
              <w:t>Q：19.16.00</w:t>
            </w:r>
          </w:p>
          <w:p>
            <w:pPr>
              <w:snapToGrid w:val="0"/>
              <w:spacing w:line="280" w:lineRule="exact"/>
              <w:ind w:left="52"/>
              <w:jc w:val="center"/>
              <w:rPr>
                <w:b/>
                <w:sz w:val="20"/>
              </w:rPr>
            </w:pPr>
            <w:r>
              <w:rPr>
                <w:b/>
                <w:sz w:val="20"/>
              </w:rPr>
              <w:t>E：19.16.00</w:t>
            </w:r>
          </w:p>
          <w:p>
            <w:pPr>
              <w:snapToGrid w:val="0"/>
              <w:spacing w:line="280" w:lineRule="exact"/>
              <w:ind w:left="52"/>
              <w:jc w:val="center"/>
              <w:rPr>
                <w:rFonts w:hint="default" w:eastAsia="宋体"/>
                <w:b w:val="0"/>
                <w:bCs/>
                <w:sz w:val="21"/>
                <w:szCs w:val="21"/>
                <w:lang w:val="en-US" w:eastAsia="zh-CN"/>
              </w:rPr>
            </w:pPr>
            <w:r>
              <w:rPr>
                <w:b/>
                <w:sz w:val="20"/>
              </w:rPr>
              <w:t>O：19.16.00</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406" w:type="dxa"/>
            <w:vAlign w:val="center"/>
          </w:tcPr>
          <w:p>
            <w:pPr>
              <w:snapToGrid w:val="0"/>
              <w:spacing w:line="280" w:lineRule="exact"/>
              <w:ind w:left="52"/>
              <w:jc w:val="center"/>
              <w:rPr>
                <w:b/>
                <w:sz w:val="20"/>
              </w:rPr>
            </w:pPr>
            <w:r>
              <w:rPr>
                <w:b/>
                <w:sz w:val="20"/>
              </w:rPr>
              <w:t>Q：19.16.00</w:t>
            </w:r>
          </w:p>
          <w:p>
            <w:pPr>
              <w:snapToGrid w:val="0"/>
              <w:spacing w:line="280" w:lineRule="exact"/>
              <w:ind w:left="52"/>
              <w:jc w:val="center"/>
              <w:rPr>
                <w:b/>
                <w:sz w:val="20"/>
              </w:rPr>
            </w:pPr>
            <w:r>
              <w:rPr>
                <w:b/>
                <w:sz w:val="20"/>
              </w:rPr>
              <w:t>E：19.16.00</w:t>
            </w:r>
          </w:p>
          <w:p>
            <w:pPr>
              <w:snapToGrid w:val="0"/>
              <w:spacing w:line="280" w:lineRule="exact"/>
              <w:jc w:val="center"/>
              <w:rPr>
                <w:b/>
                <w:sz w:val="20"/>
              </w:rPr>
            </w:pPr>
            <w:r>
              <w:rPr>
                <w:b/>
                <w:sz w:val="20"/>
              </w:rPr>
              <w:t>O：19.16.00</w:t>
            </w:r>
          </w:p>
        </w:tc>
        <w:tc>
          <w:tcPr>
            <w:tcW w:w="1819"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374" w:type="dxa"/>
            <w:vAlign w:val="center"/>
          </w:tcPr>
          <w:p>
            <w:pPr>
              <w:spacing w:line="240" w:lineRule="exact"/>
              <w:rPr>
                <w:b/>
                <w:sz w:val="20"/>
              </w:rPr>
            </w:pPr>
            <w:r>
              <w:rPr>
                <w:sz w:val="18"/>
                <w:szCs w:val="18"/>
              </w:rPr>
              <w:t>李雅静</w:t>
            </w:r>
          </w:p>
        </w:tc>
        <w:tc>
          <w:tcPr>
            <w:tcW w:w="1156"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406" w:type="dxa"/>
            <w:vAlign w:val="center"/>
          </w:tcPr>
          <w:p>
            <w:pPr>
              <w:snapToGrid w:val="0"/>
              <w:spacing w:line="360" w:lineRule="exact"/>
              <w:jc w:val="center"/>
              <w:rPr>
                <w:b/>
                <w:sz w:val="20"/>
              </w:rPr>
            </w:pPr>
          </w:p>
        </w:tc>
        <w:tc>
          <w:tcPr>
            <w:tcW w:w="1819"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374" w:type="dxa"/>
            <w:vAlign w:val="center"/>
          </w:tcPr>
          <w:p>
            <w:pPr>
              <w:snapToGrid w:val="0"/>
              <w:spacing w:line="280" w:lineRule="exact"/>
              <w:ind w:left="52"/>
              <w:jc w:val="center"/>
              <w:rPr>
                <w:rFonts w:hint="eastAsia" w:eastAsia="宋体"/>
                <w:b w:val="0"/>
                <w:bCs/>
                <w:sz w:val="18"/>
                <w:szCs w:val="18"/>
                <w:lang w:val="en-US" w:eastAsia="zh-CN"/>
              </w:rPr>
            </w:pPr>
            <w:r>
              <w:rPr>
                <w:rFonts w:hint="eastAsia"/>
                <w:b w:val="0"/>
                <w:bCs/>
                <w:sz w:val="18"/>
                <w:szCs w:val="18"/>
                <w:lang w:val="en-US" w:eastAsia="zh-CN"/>
              </w:rPr>
              <w:t>无</w:t>
            </w:r>
            <w:bookmarkStart w:id="2" w:name="_GoBack"/>
            <w:bookmarkEnd w:id="2"/>
          </w:p>
        </w:tc>
        <w:tc>
          <w:tcPr>
            <w:tcW w:w="1156" w:type="dxa"/>
            <w:vAlign w:val="center"/>
          </w:tcPr>
          <w:p>
            <w:pPr>
              <w:snapToGrid w:val="0"/>
              <w:spacing w:line="280" w:lineRule="exact"/>
              <w:ind w:left="52"/>
              <w:jc w:val="center"/>
              <w:rPr>
                <w:rFonts w:hint="eastAsia"/>
                <w:b w:val="0"/>
                <w:bCs/>
                <w:sz w:val="18"/>
                <w:szCs w:val="18"/>
              </w:rPr>
            </w:pPr>
          </w:p>
        </w:tc>
        <w:tc>
          <w:tcPr>
            <w:tcW w:w="1290" w:type="dxa"/>
            <w:vAlign w:val="center"/>
          </w:tcPr>
          <w:p>
            <w:pPr>
              <w:snapToGrid w:val="0"/>
              <w:spacing w:line="360" w:lineRule="exact"/>
              <w:jc w:val="center"/>
              <w:rPr>
                <w:b/>
                <w:sz w:val="20"/>
              </w:rPr>
            </w:pPr>
          </w:p>
        </w:tc>
        <w:tc>
          <w:tcPr>
            <w:tcW w:w="1406" w:type="dxa"/>
            <w:vAlign w:val="center"/>
          </w:tcPr>
          <w:p>
            <w:pPr>
              <w:snapToGrid w:val="0"/>
              <w:spacing w:line="360" w:lineRule="exact"/>
              <w:jc w:val="center"/>
              <w:rPr>
                <w:b/>
                <w:sz w:val="20"/>
              </w:rPr>
            </w:pPr>
          </w:p>
        </w:tc>
        <w:tc>
          <w:tcPr>
            <w:tcW w:w="1819"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例如电解设备维修流程如下：</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签订合同→电解设备维修→打压试漏→更换阳极网、阴极网（无弧点焊机焊接）→冲水打压→检验入库→发货</w:t>
            </w:r>
          </w:p>
          <w:p>
            <w:pPr>
              <w:snapToGrid w:val="0"/>
              <w:spacing w:line="280" w:lineRule="exact"/>
              <w:jc w:val="left"/>
              <w:rPr>
                <w:rFonts w:hint="eastAsia" w:ascii="Times New Roman" w:hAnsi="Times New Roman" w:eastAsia="宋体" w:cs="Times New Roman"/>
                <w:bCs w:val="0"/>
                <w:spacing w:val="0"/>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ind w:firstLine="420" w:firstLineChars="200"/>
              <w:rPr>
                <w:rFonts w:hint="eastAsia" w:eastAsia="宋体"/>
                <w:sz w:val="21"/>
                <w:szCs w:val="21"/>
                <w:lang w:eastAsia="zh-CN"/>
              </w:rPr>
            </w:pPr>
            <w:r>
              <w:rPr>
                <w:rFonts w:hint="eastAsia" w:eastAsia="宋体"/>
                <w:sz w:val="21"/>
                <w:szCs w:val="21"/>
                <w:lang w:eastAsia="zh-CN"/>
              </w:rPr>
              <w:t>特殊过程为：（无弧点焊机焊接）过程</w:t>
            </w:r>
          </w:p>
          <w:p>
            <w:pPr>
              <w:ind w:firstLine="420" w:firstLineChars="200"/>
              <w:rPr>
                <w:rFonts w:hint="default" w:eastAsia="宋体"/>
                <w:sz w:val="21"/>
                <w:szCs w:val="21"/>
                <w:lang w:val="en-US" w:eastAsia="zh-CN"/>
              </w:rPr>
            </w:pPr>
            <w:r>
              <w:rPr>
                <w:rFonts w:hint="default" w:eastAsia="宋体"/>
                <w:sz w:val="21"/>
                <w:szCs w:val="21"/>
                <w:lang w:val="en-US" w:eastAsia="zh-CN"/>
              </w:rPr>
              <w:t>本过程需要控制的有：</w:t>
            </w:r>
          </w:p>
          <w:p>
            <w:pPr>
              <w:ind w:firstLine="420" w:firstLineChars="200"/>
              <w:rPr>
                <w:rFonts w:hint="default" w:eastAsia="宋体"/>
                <w:sz w:val="21"/>
                <w:szCs w:val="21"/>
                <w:lang w:val="en-US" w:eastAsia="zh-CN"/>
              </w:rPr>
            </w:pPr>
            <w:r>
              <w:rPr>
                <w:rFonts w:hint="default" w:eastAsia="宋体"/>
                <w:sz w:val="21"/>
                <w:szCs w:val="21"/>
                <w:lang w:val="en-US" w:eastAsia="zh-CN"/>
              </w:rPr>
              <w:t>1．本公司根据该过程，针对现场操作人员编制了《无弧点焊工艺》；</w:t>
            </w:r>
          </w:p>
          <w:p>
            <w:pPr>
              <w:ind w:firstLine="420" w:firstLineChars="200"/>
              <w:rPr>
                <w:rFonts w:hint="default" w:eastAsia="宋体"/>
                <w:sz w:val="21"/>
                <w:szCs w:val="21"/>
                <w:lang w:val="en-US" w:eastAsia="zh-CN"/>
              </w:rPr>
            </w:pPr>
            <w:r>
              <w:rPr>
                <w:rFonts w:hint="default" w:eastAsia="宋体"/>
                <w:sz w:val="21"/>
                <w:szCs w:val="21"/>
                <w:lang w:val="en-US" w:eastAsia="zh-CN"/>
              </w:rPr>
              <w:t>2．针对设备操作进行维护</w:t>
            </w:r>
          </w:p>
          <w:p>
            <w:pPr>
              <w:ind w:firstLine="420" w:firstLineChars="200"/>
              <w:rPr>
                <w:rFonts w:hint="default" w:eastAsia="宋体"/>
                <w:sz w:val="21"/>
                <w:szCs w:val="21"/>
                <w:lang w:val="en-US" w:eastAsia="zh-CN"/>
              </w:rPr>
            </w:pPr>
            <w:r>
              <w:rPr>
                <w:rFonts w:hint="default" w:eastAsia="宋体"/>
                <w:sz w:val="21"/>
                <w:szCs w:val="21"/>
                <w:lang w:val="en-US" w:eastAsia="zh-CN"/>
              </w:rPr>
              <w:t>3．该员工在同行业公司该岗位工作了多年，有丰富的工作经历，工作认真负责。</w:t>
            </w:r>
          </w:p>
          <w:p>
            <w:pPr>
              <w:ind w:firstLine="420" w:firstLineChars="200"/>
              <w:rPr>
                <w:rFonts w:hint="default" w:eastAsia="宋体"/>
                <w:sz w:val="21"/>
                <w:szCs w:val="21"/>
                <w:lang w:val="en-US" w:eastAsia="zh-CN"/>
              </w:rPr>
            </w:pPr>
            <w:r>
              <w:rPr>
                <w:rFonts w:hint="default" w:eastAsia="宋体"/>
                <w:sz w:val="21"/>
                <w:szCs w:val="21"/>
                <w:lang w:val="en-US" w:eastAsia="zh-CN"/>
              </w:rPr>
              <w:t>4．生产过程中严格按照上述工艺标准和作业指导书的要求执行；</w:t>
            </w:r>
          </w:p>
          <w:p>
            <w:pPr>
              <w:ind w:firstLine="420" w:firstLineChars="200"/>
              <w:rPr>
                <w:rFonts w:hint="default" w:eastAsia="宋体"/>
                <w:sz w:val="21"/>
                <w:szCs w:val="21"/>
                <w:lang w:val="en-US" w:eastAsia="zh-CN"/>
              </w:rPr>
            </w:pPr>
            <w:r>
              <w:rPr>
                <w:rFonts w:hint="default" w:eastAsia="宋体"/>
                <w:sz w:val="21"/>
                <w:szCs w:val="21"/>
                <w:lang w:val="en-US" w:eastAsia="zh-CN"/>
              </w:rPr>
              <w:t>5．可以提供该过程的记录及该过程的检验记录。</w:t>
            </w:r>
          </w:p>
          <w:p>
            <w:pPr>
              <w:ind w:firstLine="420" w:firstLineChars="200"/>
              <w:rPr>
                <w:rFonts w:hint="eastAsia" w:eastAsia="宋体"/>
                <w:sz w:val="21"/>
                <w:szCs w:val="21"/>
                <w:lang w:eastAsia="zh-CN"/>
              </w:rPr>
            </w:pPr>
            <w:r>
              <w:rPr>
                <w:rFonts w:hint="default" w:eastAsia="宋体"/>
                <w:sz w:val="21"/>
                <w:szCs w:val="21"/>
                <w:lang w:val="en-US" w:eastAsia="zh-CN"/>
              </w:rPr>
              <w:t>6．该过程的记录及该过程的检验记录均符合本公司上述文件的要求</w:t>
            </w:r>
          </w:p>
          <w:p>
            <w:pPr>
              <w:ind w:firstLine="420" w:firstLineChars="200"/>
              <w:rPr>
                <w:rFonts w:hint="default" w:eastAsia="宋体"/>
                <w:sz w:val="21"/>
                <w:szCs w:val="21"/>
                <w:lang w:val="en-US" w:eastAsia="zh-CN"/>
              </w:rPr>
            </w:pPr>
            <w:r>
              <w:rPr>
                <w:rFonts w:hint="eastAsia" w:eastAsia="宋体"/>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Arial" w:hAnsi="Arial" w:cs="Arial"/>
                <w:color w:val="000000"/>
                <w:kern w:val="0"/>
                <w:szCs w:val="21"/>
              </w:rPr>
              <w:t>洗涤服务</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5</w:t>
            </w:r>
            <w:r>
              <w:rPr>
                <w:rFonts w:hint="eastAsia"/>
                <w:sz w:val="21"/>
                <w:szCs w:val="21"/>
              </w:rPr>
              <w:t>项</w:t>
            </w:r>
            <w:r>
              <w:rPr>
                <w:rFonts w:hint="eastAsia"/>
                <w:sz w:val="21"/>
                <w:szCs w:val="21"/>
                <w:lang w:val="en-US" w:eastAsia="zh-CN"/>
              </w:rPr>
              <w:t>:废水、废气、</w:t>
            </w:r>
            <w:r>
              <w:rPr>
                <w:rFonts w:hint="eastAsia"/>
                <w:sz w:val="21"/>
                <w:szCs w:val="21"/>
              </w:rPr>
              <w:t>固废排放、火灾</w:t>
            </w:r>
            <w:r>
              <w:rPr>
                <w:rFonts w:hint="eastAsia"/>
                <w:sz w:val="21"/>
                <w:szCs w:val="21"/>
                <w:lang w:eastAsia="zh-CN"/>
              </w:rPr>
              <w:t>、噪声、</w:t>
            </w:r>
            <w:r>
              <w:rPr>
                <w:rFonts w:hint="eastAsia"/>
                <w:sz w:val="21"/>
                <w:szCs w:val="21"/>
              </w:rPr>
              <w:t>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w:t>
            </w:r>
            <w:r>
              <w:rPr>
                <w:rFonts w:hint="eastAsia"/>
                <w:sz w:val="21"/>
                <w:szCs w:val="21"/>
                <w:lang w:eastAsia="zh-CN"/>
              </w:rPr>
              <w:t>、</w:t>
            </w:r>
            <w:r>
              <w:rPr>
                <w:rFonts w:hint="eastAsia"/>
                <w:sz w:val="21"/>
                <w:szCs w:val="21"/>
              </w:rPr>
              <w:t>触电</w:t>
            </w:r>
            <w:r>
              <w:rPr>
                <w:rFonts w:hint="eastAsia"/>
                <w:sz w:val="21"/>
                <w:szCs w:val="21"/>
                <w:lang w:eastAsia="zh-CN"/>
              </w:rPr>
              <w:t>、机械伤害。</w:t>
            </w:r>
            <w:r>
              <w:rPr>
                <w:rFonts w:hint="eastAsia"/>
                <w:sz w:val="21"/>
                <w:szCs w:val="21"/>
              </w:rPr>
              <w:t>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rPr>
                <w:rFonts w:hint="eastAsia"/>
                <w:sz w:val="21"/>
                <w:szCs w:val="21"/>
              </w:rPr>
            </w:pPr>
            <w:r>
              <w:rPr>
                <w:rFonts w:hint="eastAsia"/>
                <w:b/>
                <w:sz w:val="20"/>
                <w:szCs w:val="22"/>
              </w:rPr>
              <w:t>相关法律法规的要求及产品标准</w:t>
            </w:r>
          </w:p>
        </w:tc>
        <w:tc>
          <w:tcPr>
            <w:tcW w:w="8424" w:type="dxa"/>
            <w:gridSpan w:val="6"/>
            <w:vAlign w:val="center"/>
          </w:tcPr>
          <w:p>
            <w:pPr>
              <w:rPr>
                <w:rFonts w:hint="eastAsia"/>
                <w:szCs w:val="21"/>
              </w:rPr>
            </w:pPr>
            <w:r>
              <w:rPr>
                <w:rFonts w:hint="eastAsia"/>
                <w:szCs w:val="21"/>
              </w:rPr>
              <w:t>YS/T 3001-2010载金活性炭解吸电解设备技术规范</w:t>
            </w:r>
            <w:r>
              <w:rPr>
                <w:rFonts w:hint="eastAsia"/>
                <w:szCs w:val="21"/>
              </w:rPr>
              <w:tab/>
            </w:r>
            <w:r>
              <w:rPr>
                <w:rFonts w:hint="eastAsia"/>
                <w:szCs w:val="21"/>
              </w:rPr>
              <w:t>中华人民共和国工业和信息化部</w:t>
            </w:r>
            <w:r>
              <w:rPr>
                <w:rFonts w:hint="eastAsia"/>
                <w:szCs w:val="21"/>
              </w:rPr>
              <w:tab/>
            </w:r>
            <w:r>
              <w:rPr>
                <w:rFonts w:hint="eastAsia"/>
                <w:szCs w:val="21"/>
              </w:rPr>
              <w:t>2011.3.1</w:t>
            </w:r>
          </w:p>
          <w:p>
            <w:pPr>
              <w:rPr>
                <w:rFonts w:hint="eastAsia"/>
                <w:szCs w:val="21"/>
              </w:rPr>
            </w:pPr>
            <w:r>
              <w:rPr>
                <w:rFonts w:hint="eastAsia"/>
                <w:szCs w:val="21"/>
              </w:rPr>
              <w:t>CB 3521-1993水电解制氢装置通用技术条件</w:t>
            </w:r>
            <w:r>
              <w:rPr>
                <w:rFonts w:hint="eastAsia"/>
                <w:szCs w:val="21"/>
              </w:rPr>
              <w:tab/>
            </w:r>
            <w:r>
              <w:rPr>
                <w:rFonts w:hint="eastAsia"/>
                <w:szCs w:val="21"/>
              </w:rPr>
              <w:tab/>
            </w:r>
            <w:r>
              <w:rPr>
                <w:rFonts w:hint="eastAsia"/>
                <w:szCs w:val="21"/>
              </w:rPr>
              <w:t>1994.05.01</w:t>
            </w:r>
          </w:p>
          <w:p>
            <w:pPr>
              <w:rPr>
                <w:rFonts w:hint="eastAsia"/>
                <w:szCs w:val="21"/>
              </w:rPr>
            </w:pPr>
            <w:r>
              <w:rPr>
                <w:rFonts w:hint="eastAsia"/>
                <w:szCs w:val="21"/>
              </w:rPr>
              <w:t>HG/T 2471-2011电解槽金属阳极涂层</w:t>
            </w:r>
            <w:r>
              <w:rPr>
                <w:rFonts w:hint="eastAsia"/>
                <w:szCs w:val="21"/>
              </w:rPr>
              <w:tab/>
            </w:r>
            <w:r>
              <w:rPr>
                <w:rFonts w:hint="eastAsia"/>
                <w:szCs w:val="21"/>
              </w:rPr>
              <w:t>中华人民共和国工业和信息化部</w:t>
            </w:r>
            <w:r>
              <w:rPr>
                <w:rFonts w:hint="eastAsia"/>
                <w:szCs w:val="21"/>
              </w:rPr>
              <w:tab/>
            </w:r>
            <w:r>
              <w:rPr>
                <w:rFonts w:hint="eastAsia"/>
                <w:szCs w:val="21"/>
              </w:rPr>
              <w:t>2012.7.1</w:t>
            </w:r>
          </w:p>
          <w:p>
            <w:pPr>
              <w:rPr>
                <w:rFonts w:hint="eastAsia"/>
                <w:szCs w:val="21"/>
              </w:rPr>
            </w:pPr>
            <w:r>
              <w:rPr>
                <w:rFonts w:hint="eastAsia"/>
                <w:szCs w:val="21"/>
              </w:rPr>
              <w:t>HG/T 2951-2012隔膜法金属阳极电解槽</w:t>
            </w:r>
            <w:r>
              <w:rPr>
                <w:rFonts w:hint="eastAsia"/>
                <w:szCs w:val="21"/>
              </w:rPr>
              <w:tab/>
            </w:r>
            <w:r>
              <w:rPr>
                <w:rFonts w:hint="eastAsia"/>
                <w:szCs w:val="21"/>
              </w:rPr>
              <w:t>中华人民共和国工业和信息化部</w:t>
            </w:r>
            <w:r>
              <w:rPr>
                <w:rFonts w:hint="eastAsia"/>
                <w:szCs w:val="21"/>
              </w:rPr>
              <w:tab/>
            </w:r>
            <w:r>
              <w:rPr>
                <w:rFonts w:hint="eastAsia"/>
                <w:szCs w:val="21"/>
              </w:rPr>
              <w:t>2013.3.1</w:t>
            </w:r>
          </w:p>
          <w:p>
            <w:pPr>
              <w:rPr>
                <w:rFonts w:hint="eastAsia"/>
                <w:szCs w:val="21"/>
              </w:rPr>
            </w:pPr>
            <w:r>
              <w:rPr>
                <w:rFonts w:hint="eastAsia"/>
                <w:szCs w:val="21"/>
              </w:rPr>
              <w:t>HG/T 3981-2007复极式离子膜电解槽</w:t>
            </w:r>
            <w:r>
              <w:rPr>
                <w:rFonts w:hint="eastAsia"/>
                <w:szCs w:val="21"/>
              </w:rPr>
              <w:tab/>
            </w:r>
            <w:r>
              <w:rPr>
                <w:rFonts w:hint="eastAsia"/>
                <w:szCs w:val="21"/>
              </w:rPr>
              <w:t>中华人民共和国国家发展和改革委员会</w:t>
            </w:r>
            <w:r>
              <w:rPr>
                <w:rFonts w:hint="eastAsia"/>
                <w:szCs w:val="21"/>
              </w:rPr>
              <w:tab/>
            </w:r>
            <w:r>
              <w:rPr>
                <w:rFonts w:hint="eastAsia"/>
                <w:szCs w:val="21"/>
              </w:rPr>
              <w:t>2008.4.1</w:t>
            </w:r>
          </w:p>
          <w:p>
            <w:pPr>
              <w:rPr>
                <w:rFonts w:hint="eastAsia"/>
                <w:szCs w:val="21"/>
              </w:rPr>
            </w:pPr>
            <w:r>
              <w:rPr>
                <w:rFonts w:hint="eastAsia"/>
                <w:szCs w:val="21"/>
              </w:rPr>
              <w:t>HG/T 4592-2014离子膜法金属阳极电解槽电极活性层</w:t>
            </w:r>
            <w:r>
              <w:rPr>
                <w:rFonts w:hint="eastAsia"/>
                <w:szCs w:val="21"/>
              </w:rPr>
              <w:tab/>
            </w:r>
            <w:r>
              <w:rPr>
                <w:rFonts w:hint="eastAsia"/>
                <w:szCs w:val="21"/>
              </w:rPr>
              <w:t>全国化工机械与设备标准化技术委员会</w:t>
            </w:r>
            <w:r>
              <w:rPr>
                <w:rFonts w:hint="eastAsia"/>
                <w:szCs w:val="21"/>
              </w:rPr>
              <w:tab/>
            </w:r>
            <w:r>
              <w:rPr>
                <w:rFonts w:hint="eastAsia"/>
                <w:szCs w:val="21"/>
              </w:rPr>
              <w:t>2014.10.1</w:t>
            </w:r>
          </w:p>
          <w:p>
            <w:pPr>
              <w:ind w:firstLine="420" w:firstLineChars="200"/>
              <w:rPr>
                <w:rFonts w:hint="default"/>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审核组长</w:t>
      </w:r>
      <w:r>
        <w:rPr>
          <w:rFonts w:hint="eastAsia" w:ascii="宋体"/>
          <w:b/>
          <w:sz w:val="18"/>
          <w:szCs w:val="18"/>
        </w:rPr>
        <w:t>：</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2020.8.13</w:t>
      </w:r>
    </w:p>
    <w:p>
      <w:pPr>
        <w:snapToGrid w:val="0"/>
        <w:rPr>
          <w:rFonts w:ascii="宋体"/>
          <w:b/>
          <w:spacing w:val="-6"/>
          <w:sz w:val="18"/>
          <w:szCs w:val="18"/>
        </w:rPr>
      </w:pPr>
    </w:p>
    <w:p>
      <w:pPr>
        <w:snapToGrid w:val="0"/>
        <w:rPr>
          <w:rFonts w:hint="eastAsia" w:ascii="宋体"/>
          <w:b/>
          <w:spacing w:val="-6"/>
          <w:sz w:val="21"/>
          <w:szCs w:val="21"/>
        </w:rPr>
      </w:pPr>
      <w:r>
        <w:rPr>
          <w:rFonts w:hint="eastAsia" w:ascii="宋体"/>
          <w:b/>
          <w:spacing w:val="-6"/>
          <w:sz w:val="18"/>
          <w:szCs w:val="18"/>
        </w:rPr>
        <w:t>注：</w:t>
      </w:r>
      <w:r>
        <w:rPr>
          <w:rFonts w:hint="eastAsia" w:ascii="宋体"/>
          <w:b/>
          <w:spacing w:val="-6"/>
          <w:sz w:val="21"/>
          <w:szCs w:val="21"/>
        </w:rPr>
        <w:t>如有其他培训内容或空格不够可另加附页</w:t>
      </w: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pStyle w:val="2"/>
        <w:rPr>
          <w:rFonts w:hint="eastAsia" w:ascii="宋体"/>
          <w:b/>
          <w:spacing w:val="-6"/>
          <w:sz w:val="21"/>
          <w:szCs w:val="21"/>
        </w:rPr>
      </w:pPr>
    </w:p>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t>█</w:t>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74"/>
        <w:gridCol w:w="1156"/>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r>
              <w:rPr>
                <w:rFonts w:hint="eastAsia"/>
                <w:b/>
                <w:szCs w:val="21"/>
              </w:rPr>
              <w:t>29.12.00新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29.12.00新</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374" w:type="dxa"/>
            <w:vAlign w:val="center"/>
          </w:tcPr>
          <w:p>
            <w:pPr>
              <w:spacing w:line="240" w:lineRule="exact"/>
              <w:rPr>
                <w:b/>
                <w:sz w:val="20"/>
              </w:rPr>
            </w:pPr>
            <w:r>
              <w:rPr>
                <w:rFonts w:hint="eastAsia"/>
                <w:sz w:val="18"/>
                <w:szCs w:val="18"/>
              </w:rPr>
              <w:t>伍光华</w:t>
            </w:r>
          </w:p>
        </w:tc>
        <w:tc>
          <w:tcPr>
            <w:tcW w:w="1156" w:type="dxa"/>
            <w:vAlign w:val="center"/>
          </w:tcPr>
          <w:p>
            <w:pPr>
              <w:snapToGrid w:val="0"/>
              <w:spacing w:line="360" w:lineRule="exact"/>
              <w:jc w:val="center"/>
              <w:rPr>
                <w:b/>
                <w:sz w:val="20"/>
              </w:rPr>
            </w:pPr>
            <w:r>
              <w:rPr>
                <w:rFonts w:hint="eastAsia"/>
                <w:sz w:val="18"/>
                <w:szCs w:val="18"/>
              </w:rPr>
              <w:t>张晓芳</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374" w:type="dxa"/>
            <w:vAlign w:val="center"/>
          </w:tcPr>
          <w:p>
            <w:pPr>
              <w:snapToGrid w:val="0"/>
              <w:spacing w:line="360" w:lineRule="exact"/>
              <w:jc w:val="center"/>
              <w:rPr>
                <w:b/>
                <w:sz w:val="20"/>
              </w:rPr>
            </w:pPr>
            <w:r>
              <w:rPr>
                <w:rFonts w:hint="eastAsia"/>
                <w:b/>
                <w:szCs w:val="21"/>
              </w:rPr>
              <w:t>29.12.00新</w:t>
            </w:r>
          </w:p>
        </w:tc>
        <w:tc>
          <w:tcPr>
            <w:tcW w:w="1156" w:type="dxa"/>
            <w:vAlign w:val="center"/>
          </w:tcPr>
          <w:p>
            <w:pPr>
              <w:snapToGrid w:val="0"/>
              <w:spacing w:line="360" w:lineRule="exact"/>
              <w:jc w:val="center"/>
              <w:rPr>
                <w:b/>
                <w:sz w:val="20"/>
              </w:rPr>
            </w:pPr>
            <w:r>
              <w:rPr>
                <w:rFonts w:hint="eastAsia"/>
                <w:b/>
                <w:szCs w:val="21"/>
              </w:rPr>
              <w:t>29.12.00新</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left"/>
              <w:rPr>
                <w:rFonts w:hint="eastAsia"/>
                <w:b/>
                <w:sz w:val="20"/>
              </w:rPr>
            </w:pPr>
            <w:r>
              <w:rPr>
                <w:rFonts w:hint="eastAsia"/>
                <w:b/>
                <w:sz w:val="20"/>
              </w:rPr>
              <w:t>销售典型的工艺流程如下：</w:t>
            </w:r>
          </w:p>
          <w:p>
            <w:pPr>
              <w:snapToGrid w:val="0"/>
              <w:spacing w:line="280" w:lineRule="exact"/>
              <w:jc w:val="left"/>
              <w:rPr>
                <w:rFonts w:hint="eastAsia"/>
                <w:b/>
                <w:sz w:val="20"/>
              </w:rPr>
            </w:pPr>
            <w:r>
              <w:rPr>
                <w:rFonts w:hint="eastAsia"/>
                <w:b/>
                <w:sz w:val="20"/>
              </w:rPr>
              <w:t>岗前培训-与客户前期沟通―签订协议―评审确认-顾客定货-出配送单-供货―交付―</w:t>
            </w:r>
          </w:p>
          <w:p>
            <w:pPr>
              <w:snapToGrid w:val="0"/>
              <w:spacing w:line="280" w:lineRule="exact"/>
              <w:jc w:val="left"/>
              <w:rPr>
                <w:b/>
                <w:sz w:val="20"/>
              </w:rPr>
            </w:pPr>
            <w:r>
              <w:rPr>
                <w:rFonts w:hint="eastAsia"/>
                <w:b/>
                <w:sz w:val="20"/>
              </w:rPr>
              <w:t>售后维护回访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snapToGrid w:val="0"/>
              <w:spacing w:line="280" w:lineRule="exact"/>
              <w:jc w:val="left"/>
              <w:rPr>
                <w:rFonts w:hint="eastAsia"/>
                <w:b w:val="0"/>
                <w:bCs/>
                <w:sz w:val="20"/>
                <w:szCs w:val="22"/>
              </w:rPr>
            </w:pPr>
            <w:r>
              <w:rPr>
                <w:rFonts w:hint="eastAsia"/>
                <w:b w:val="0"/>
                <w:bCs/>
                <w:sz w:val="20"/>
                <w:szCs w:val="22"/>
              </w:rPr>
              <w:t>关键过程为：销售服务</w:t>
            </w:r>
          </w:p>
          <w:p>
            <w:pPr>
              <w:snapToGrid w:val="0"/>
              <w:spacing w:line="280" w:lineRule="exact"/>
              <w:jc w:val="left"/>
              <w:rPr>
                <w:rFonts w:hint="eastAsia"/>
                <w:b w:val="0"/>
                <w:bCs/>
                <w:sz w:val="20"/>
                <w:szCs w:val="22"/>
              </w:rPr>
            </w:pPr>
            <w:r>
              <w:rPr>
                <w:rFonts w:hint="eastAsia"/>
                <w:b w:val="0"/>
                <w:bCs/>
                <w:sz w:val="20"/>
                <w:szCs w:val="22"/>
              </w:rPr>
              <w:t>特殊过程为：销售服务</w:t>
            </w:r>
          </w:p>
          <w:p>
            <w:pPr>
              <w:snapToGrid w:val="0"/>
              <w:spacing w:line="280" w:lineRule="exact"/>
              <w:jc w:val="left"/>
              <w:rPr>
                <w:rFonts w:hint="eastAsia"/>
                <w:b w:val="0"/>
                <w:bCs/>
                <w:sz w:val="20"/>
                <w:szCs w:val="22"/>
              </w:rPr>
            </w:pPr>
            <w:r>
              <w:rPr>
                <w:rFonts w:hint="eastAsia"/>
                <w:b w:val="0"/>
                <w:bCs/>
                <w:sz w:val="20"/>
                <w:szCs w:val="22"/>
              </w:rPr>
              <w:t>销售主要质量指标：熟悉行业规范、具备执业素养、具有亲和力与良好的沟通能</w:t>
            </w:r>
          </w:p>
          <w:p>
            <w:pPr>
              <w:snapToGrid w:val="0"/>
              <w:spacing w:line="280" w:lineRule="exact"/>
              <w:jc w:val="left"/>
              <w:rPr>
                <w:rFonts w:hint="eastAsia"/>
                <w:b w:val="0"/>
                <w:bCs/>
                <w:sz w:val="20"/>
                <w:szCs w:val="22"/>
              </w:rPr>
            </w:pPr>
            <w:r>
              <w:rPr>
                <w:rFonts w:hint="eastAsia"/>
                <w:b w:val="0"/>
                <w:bCs/>
                <w:sz w:val="20"/>
                <w:szCs w:val="22"/>
              </w:rPr>
              <w:t>力，了解顾客对公司的需求情况及顾客明示或隐含的要求</w:t>
            </w:r>
          </w:p>
          <w:p>
            <w:pPr>
              <w:snapToGrid w:val="0"/>
              <w:spacing w:line="280" w:lineRule="exact"/>
              <w:jc w:val="left"/>
              <w:rPr>
                <w:rFonts w:hint="eastAsia"/>
                <w:b w:val="0"/>
                <w:bCs/>
                <w:sz w:val="20"/>
                <w:szCs w:val="22"/>
              </w:rPr>
            </w:pPr>
            <w:r>
              <w:rPr>
                <w:rFonts w:hint="eastAsia"/>
                <w:b w:val="0"/>
                <w:bCs/>
                <w:sz w:val="20"/>
                <w:szCs w:val="22"/>
              </w:rPr>
              <w:t>熟悉关键原材料进厂检验、产品特性及客户的要求</w:t>
            </w:r>
          </w:p>
          <w:p>
            <w:pPr>
              <w:snapToGrid w:val="0"/>
              <w:spacing w:line="280" w:lineRule="exact"/>
              <w:jc w:val="left"/>
              <w:rPr>
                <w:rFonts w:hint="eastAsia"/>
                <w:b w:val="0"/>
                <w:bCs/>
                <w:sz w:val="20"/>
                <w:szCs w:val="22"/>
              </w:rPr>
            </w:pPr>
            <w:r>
              <w:rPr>
                <w:rFonts w:hint="eastAsia"/>
                <w:b w:val="0"/>
                <w:bCs/>
                <w:sz w:val="20"/>
                <w:szCs w:val="22"/>
              </w:rPr>
              <w:t>根据客户要求制定销售计划</w:t>
            </w:r>
          </w:p>
          <w:p>
            <w:pPr>
              <w:pStyle w:val="6"/>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宋体" w:hAnsi="宋体" w:cs="宋体"/>
                <w:kern w:val="0"/>
                <w:szCs w:val="21"/>
              </w:rPr>
              <w:t>服装机械设备及零配件的销售</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3</w:t>
            </w:r>
            <w:r>
              <w:rPr>
                <w:rFonts w:hint="eastAsia"/>
                <w:sz w:val="21"/>
                <w:szCs w:val="21"/>
              </w:rPr>
              <w:t>项：固废排放、火灾</w:t>
            </w:r>
            <w:r>
              <w:rPr>
                <w:rFonts w:hint="eastAsia"/>
                <w:sz w:val="21"/>
                <w:szCs w:val="21"/>
                <w:lang w:eastAsia="zh-CN"/>
              </w:rPr>
              <w:t>、噪声、</w:t>
            </w:r>
            <w:r>
              <w:rPr>
                <w:rFonts w:hint="eastAsia"/>
                <w:sz w:val="21"/>
                <w:szCs w:val="21"/>
              </w:rPr>
              <w:t>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w:t>
            </w:r>
            <w:r>
              <w:rPr>
                <w:rFonts w:hint="eastAsia"/>
                <w:sz w:val="21"/>
                <w:szCs w:val="21"/>
                <w:lang w:eastAsia="zh-CN"/>
              </w:rPr>
              <w:t>、</w:t>
            </w:r>
            <w:r>
              <w:rPr>
                <w:rFonts w:hint="eastAsia"/>
                <w:sz w:val="21"/>
                <w:szCs w:val="21"/>
              </w:rPr>
              <w:t>触电</w:t>
            </w:r>
            <w:r>
              <w:rPr>
                <w:rFonts w:hint="eastAsia"/>
                <w:sz w:val="21"/>
                <w:szCs w:val="21"/>
                <w:lang w:eastAsia="zh-CN"/>
              </w:rPr>
              <w:t>、机械伤害、起重伤害。</w:t>
            </w:r>
            <w:r>
              <w:rPr>
                <w:rFonts w:hint="eastAsia"/>
                <w:sz w:val="21"/>
                <w:szCs w:val="21"/>
              </w:rPr>
              <w:t>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pStyle w:val="6"/>
              <w:keepNext w:val="0"/>
              <w:keepLines w:val="0"/>
              <w:widowControl/>
              <w:suppressLineNumbers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GB/T 678-2002 化学试剂 乙醇</w:t>
            </w:r>
          </w:p>
          <w:p>
            <w:pPr>
              <w:pStyle w:val="6"/>
              <w:keepNext w:val="0"/>
              <w:keepLines w:val="0"/>
              <w:widowControl/>
              <w:suppressLineNumbers w:val="0"/>
              <w:rPr>
                <w:rFonts w:hint="eastAsia"/>
                <w:lang w:eastAsia="zh-CN"/>
              </w:rPr>
            </w:pPr>
            <w:r>
              <w:rPr>
                <w:rFonts w:hint="eastAsia" w:ascii="Times New Roman" w:hAnsi="Times New Roman" w:eastAsia="宋体" w:cs="Times New Roman"/>
                <w:kern w:val="2"/>
                <w:sz w:val="21"/>
                <w:szCs w:val="21"/>
                <w:lang w:val="en-US" w:eastAsia="zh-CN" w:bidi="ar-SA"/>
              </w:rPr>
              <w:t>GB18583-2008  室内装修材料胶粘剂中有害物质限量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审核组长</w:t>
      </w:r>
      <w:r>
        <w:rPr>
          <w:rFonts w:hint="eastAsia" w:ascii="宋体"/>
          <w:b/>
          <w:sz w:val="18"/>
          <w:szCs w:val="18"/>
        </w:rPr>
        <w:t xml:space="preserve">：   </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2019.5.29</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p>
      <w:pPr>
        <w:pStyle w:val="2"/>
        <w:rPr>
          <w:rFonts w:hint="eastAsia" w:ascii="宋体"/>
          <w:b/>
          <w:spacing w:val="-6"/>
          <w:sz w:val="21"/>
          <w:szCs w:val="21"/>
        </w:rPr>
      </w:pP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_x0000_s3073" o:spid="_x0000_s3073" o:spt="202" type="#_x0000_t202" style="position:absolute;left:0pt;margin-left:325.25pt;margin-top:2.2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ISC-B-I-15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rPr>
        <w:rFonts w:hint="eastAsia"/>
      </w:rPr>
    </w:pPr>
    <w:r>
      <w:rPr>
        <w:rFonts w:hint="eastAsia"/>
      </w:rPr>
      <w:pict>
        <v:shape id="_x0000_s3074" o:spid="_x0000_s3074"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3011"/>
    <w:rsid w:val="00100E4C"/>
    <w:rsid w:val="00131FD1"/>
    <w:rsid w:val="00236D1A"/>
    <w:rsid w:val="002B54AD"/>
    <w:rsid w:val="00315455"/>
    <w:rsid w:val="003C6FC5"/>
    <w:rsid w:val="0044725C"/>
    <w:rsid w:val="00477A1B"/>
    <w:rsid w:val="004E3011"/>
    <w:rsid w:val="00500E96"/>
    <w:rsid w:val="0059187A"/>
    <w:rsid w:val="005F092E"/>
    <w:rsid w:val="0060532A"/>
    <w:rsid w:val="00632E1D"/>
    <w:rsid w:val="00922324"/>
    <w:rsid w:val="00955C6E"/>
    <w:rsid w:val="009D1743"/>
    <w:rsid w:val="009D185D"/>
    <w:rsid w:val="00A077ED"/>
    <w:rsid w:val="00BA17F9"/>
    <w:rsid w:val="00BF25A4"/>
    <w:rsid w:val="00D062D3"/>
    <w:rsid w:val="00D635DF"/>
    <w:rsid w:val="00E04B4E"/>
    <w:rsid w:val="00E13E47"/>
    <w:rsid w:val="00E628C3"/>
    <w:rsid w:val="00E76B89"/>
    <w:rsid w:val="00EA2818"/>
    <w:rsid w:val="00EB1B24"/>
    <w:rsid w:val="00F61886"/>
    <w:rsid w:val="0A814EE2"/>
    <w:rsid w:val="0B4A7BD4"/>
    <w:rsid w:val="0E375945"/>
    <w:rsid w:val="0F4E6BC6"/>
    <w:rsid w:val="12CE5B2B"/>
    <w:rsid w:val="1D2E6271"/>
    <w:rsid w:val="1DC537ED"/>
    <w:rsid w:val="2EAC33F8"/>
    <w:rsid w:val="303F4B65"/>
    <w:rsid w:val="348A54C1"/>
    <w:rsid w:val="39226E2A"/>
    <w:rsid w:val="430E59E1"/>
    <w:rsid w:val="444C2ED8"/>
    <w:rsid w:val="496A0EBF"/>
    <w:rsid w:val="49846477"/>
    <w:rsid w:val="4C044200"/>
    <w:rsid w:val="59154E70"/>
    <w:rsid w:val="635C1D4A"/>
    <w:rsid w:val="6505503D"/>
    <w:rsid w:val="67C67A81"/>
    <w:rsid w:val="6D9011DE"/>
    <w:rsid w:val="6DB66D19"/>
    <w:rsid w:val="78274FC6"/>
    <w:rsid w:val="78A13223"/>
    <w:rsid w:val="79761111"/>
    <w:rsid w:val="7DDC7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44</Words>
  <Characters>251</Characters>
  <Lines>2</Lines>
  <Paragraphs>1</Paragraphs>
  <TotalTime>0</TotalTime>
  <ScaleCrop>false</ScaleCrop>
  <LinksUpToDate>false</LinksUpToDate>
  <CharactersWithSpaces>294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2020-08-18T11:10:40Z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