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94"/>
        <w:gridCol w:w="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94" w:type="dxa"/>
            <w:vAlign w:val="center"/>
          </w:tcPr>
          <w:p>
            <w:pPr>
              <w:rPr>
                <w:sz w:val="24"/>
                <w:szCs w:val="24"/>
              </w:rPr>
            </w:pPr>
            <w:r>
              <w:rPr>
                <w:rFonts w:hint="eastAsia"/>
                <w:sz w:val="24"/>
                <w:szCs w:val="24"/>
              </w:rPr>
              <w:t xml:space="preserve">受审核部门：办公室（含财务）  主管领导：范红叶   </w:t>
            </w:r>
          </w:p>
        </w:tc>
        <w:tc>
          <w:tcPr>
            <w:tcW w:w="89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160" w:type="dxa"/>
            <w:vMerge w:val="continue"/>
            <w:vAlign w:val="center"/>
          </w:tcPr>
          <w:p/>
        </w:tc>
        <w:tc>
          <w:tcPr>
            <w:tcW w:w="960" w:type="dxa"/>
            <w:vMerge w:val="continue"/>
            <w:vAlign w:val="center"/>
          </w:tcPr>
          <w:p/>
        </w:tc>
        <w:tc>
          <w:tcPr>
            <w:tcW w:w="10694" w:type="dxa"/>
            <w:vAlign w:val="center"/>
          </w:tcPr>
          <w:p>
            <w:pPr>
              <w:rPr>
                <w:sz w:val="24"/>
                <w:szCs w:val="24"/>
              </w:rPr>
            </w:pPr>
            <w:r>
              <w:rPr>
                <w:rFonts w:hint="eastAsia"/>
                <w:sz w:val="24"/>
                <w:szCs w:val="24"/>
              </w:rPr>
              <w:t>审核员：张鹏       审核时间：2020年8月3日</w:t>
            </w:r>
          </w:p>
        </w:tc>
        <w:tc>
          <w:tcPr>
            <w:tcW w:w="89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160" w:type="dxa"/>
            <w:vMerge w:val="continue"/>
            <w:vAlign w:val="center"/>
          </w:tcPr>
          <w:p/>
        </w:tc>
        <w:tc>
          <w:tcPr>
            <w:tcW w:w="960" w:type="dxa"/>
            <w:vMerge w:val="continue"/>
            <w:vAlign w:val="center"/>
          </w:tcPr>
          <w:p/>
        </w:tc>
        <w:tc>
          <w:tcPr>
            <w:tcW w:w="10694" w:type="dxa"/>
            <w:vAlign w:val="center"/>
          </w:tcPr>
          <w:p>
            <w:pPr>
              <w:rPr>
                <w:szCs w:val="22"/>
              </w:rPr>
            </w:pPr>
            <w:r>
              <w:rPr>
                <w:rFonts w:hint="eastAsia"/>
                <w:sz w:val="24"/>
                <w:szCs w:val="24"/>
              </w:rPr>
              <w:t>审核条款：</w:t>
            </w:r>
            <w:r>
              <w:rPr>
                <w:szCs w:val="22"/>
              </w:rPr>
              <w:t>Q5.3/</w:t>
            </w:r>
            <w:r>
              <w:rPr>
                <w:rFonts w:hint="eastAsia"/>
                <w:szCs w:val="22"/>
              </w:rPr>
              <w:t>6.1/6.2/</w:t>
            </w:r>
            <w:r>
              <w:rPr>
                <w:szCs w:val="22"/>
              </w:rPr>
              <w:t>7.1.2/7.1.6</w:t>
            </w:r>
            <w:r>
              <w:rPr>
                <w:rFonts w:hint="eastAsia"/>
                <w:szCs w:val="22"/>
              </w:rPr>
              <w:t>/</w:t>
            </w:r>
            <w:r>
              <w:rPr>
                <w:szCs w:val="22"/>
              </w:rPr>
              <w:t>7.2/</w:t>
            </w:r>
            <w:r>
              <w:rPr>
                <w:rFonts w:hint="eastAsia"/>
                <w:szCs w:val="22"/>
              </w:rPr>
              <w:t>/</w:t>
            </w:r>
            <w:r>
              <w:rPr>
                <w:szCs w:val="22"/>
              </w:rPr>
              <w:t>9.2/10.2</w:t>
            </w:r>
            <w:r>
              <w:rPr>
                <w:rFonts w:hint="eastAsia"/>
                <w:szCs w:val="22"/>
              </w:rPr>
              <w:t>；</w:t>
            </w:r>
          </w:p>
          <w:p>
            <w:pPr>
              <w:rPr>
                <w:szCs w:val="22"/>
              </w:rPr>
            </w:pPr>
            <w:r>
              <w:rPr>
                <w:szCs w:val="22"/>
              </w:rPr>
              <w:t>E5.3/7.2/8.1/8.2/</w:t>
            </w:r>
            <w:r>
              <w:rPr>
                <w:rFonts w:hint="eastAsia"/>
                <w:szCs w:val="22"/>
              </w:rPr>
              <w:t>9.1.1/</w:t>
            </w:r>
            <w:r>
              <w:rPr>
                <w:szCs w:val="22"/>
              </w:rPr>
              <w:t>9.2/10.2</w:t>
            </w:r>
            <w:r>
              <w:rPr>
                <w:rFonts w:hint="eastAsia"/>
                <w:szCs w:val="22"/>
              </w:rPr>
              <w:t>；</w:t>
            </w:r>
          </w:p>
          <w:p>
            <w:pPr>
              <w:rPr>
                <w:szCs w:val="22"/>
              </w:rPr>
            </w:pPr>
            <w:r>
              <w:rPr>
                <w:rFonts w:hint="eastAsia"/>
                <w:szCs w:val="22"/>
              </w:rPr>
              <w:t>O</w:t>
            </w:r>
            <w:r>
              <w:rPr>
                <w:szCs w:val="22"/>
              </w:rPr>
              <w:t>5.3/</w:t>
            </w:r>
            <w:r>
              <w:rPr>
                <w:rFonts w:hint="eastAsia"/>
                <w:szCs w:val="22"/>
              </w:rPr>
              <w:t>5.4/6.1/6.2/</w:t>
            </w:r>
            <w:r>
              <w:rPr>
                <w:szCs w:val="22"/>
              </w:rPr>
              <w:t>7.2/7.3/7.4/7.5/8.2/9.2/10.2</w:t>
            </w:r>
            <w:r>
              <w:rPr>
                <w:rFonts w:hint="eastAsia"/>
                <w:szCs w:val="22"/>
              </w:rPr>
              <w:t>；</w:t>
            </w:r>
          </w:p>
          <w:p>
            <w:pPr>
              <w:pStyle w:val="2"/>
            </w:pPr>
          </w:p>
        </w:tc>
        <w:tc>
          <w:tcPr>
            <w:tcW w:w="89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160" w:type="dxa"/>
            <w:vAlign w:val="center"/>
          </w:tcPr>
          <w:p>
            <w:r>
              <w:rPr>
                <w:rFonts w:hint="eastAsia"/>
                <w:szCs w:val="21"/>
              </w:rPr>
              <w:t>组织的岗位、职责权限</w:t>
            </w:r>
          </w:p>
        </w:tc>
        <w:tc>
          <w:tcPr>
            <w:tcW w:w="960" w:type="dxa"/>
            <w:vAlign w:val="center"/>
          </w:tcPr>
          <w:p>
            <w:pPr>
              <w:rPr>
                <w:szCs w:val="21"/>
              </w:rPr>
            </w:pPr>
            <w:r>
              <w:rPr>
                <w:rFonts w:hint="eastAsia"/>
                <w:szCs w:val="21"/>
              </w:rPr>
              <w:t>QEO5.3</w:t>
            </w:r>
          </w:p>
          <w:p>
            <w:pPr>
              <w:pStyle w:val="12"/>
            </w:pPr>
          </w:p>
        </w:tc>
        <w:tc>
          <w:tcPr>
            <w:tcW w:w="10694" w:type="dxa"/>
            <w:vAlign w:val="center"/>
          </w:tcPr>
          <w:p>
            <w:pPr>
              <w:ind w:firstLine="420" w:firstLineChars="200"/>
            </w:pPr>
            <w:r>
              <w:rPr>
                <w:rFonts w:hint="eastAsia"/>
              </w:rPr>
              <w:t>部门负责人：</w:t>
            </w:r>
            <w:r>
              <w:rPr>
                <w:rFonts w:hint="eastAsia"/>
                <w:sz w:val="28"/>
              </w:rPr>
              <w:t>范红叶</w:t>
            </w:r>
          </w:p>
          <w:p>
            <w:pPr>
              <w:spacing w:line="360" w:lineRule="auto"/>
            </w:pPr>
            <w:r>
              <w:rPr>
                <w:rFonts w:hint="eastAsia"/>
              </w:rPr>
              <w:t>司最高管理者根据产品要求、顾客要求以及公司销售和发展的要求建立适合于公司自身情况的公司组织架构，同时建立《岗位职责说明书》来规范公司各级组织架构及相应岗位职责的控制，确保各层次职责、权限和相互关系予以规定并得到沟通和互相理解；</w:t>
            </w:r>
          </w:p>
          <w:p>
            <w:pPr>
              <w:numPr>
                <w:ilvl w:val="0"/>
                <w:numId w:val="1"/>
              </w:numPr>
              <w:spacing w:line="360" w:lineRule="auto"/>
            </w:pPr>
            <w:r>
              <w:rPr>
                <w:rFonts w:hint="eastAsia"/>
              </w:rPr>
              <w:t>以确保质量/环境/职业健康安全管理体系符合本标准的要求；</w:t>
            </w:r>
          </w:p>
          <w:p>
            <w:pPr>
              <w:numPr>
                <w:ilvl w:val="0"/>
                <w:numId w:val="1"/>
              </w:numPr>
              <w:spacing w:line="360" w:lineRule="auto"/>
            </w:pPr>
            <w:r>
              <w:rPr>
                <w:rFonts w:hint="eastAsia"/>
              </w:rPr>
              <w:t>确保各过程获得其预期输出；</w:t>
            </w:r>
          </w:p>
          <w:p>
            <w:pPr>
              <w:numPr>
                <w:ilvl w:val="0"/>
                <w:numId w:val="1"/>
              </w:numPr>
              <w:spacing w:line="360" w:lineRule="auto"/>
            </w:pPr>
            <w:r>
              <w:rPr>
                <w:rFonts w:hint="eastAsia"/>
              </w:rPr>
              <w:t>报告质量/环境/职业健康安全管理体系绩效及其改进机遇（见 10.1），须向最高管理者报告；</w:t>
            </w:r>
          </w:p>
          <w:p>
            <w:pPr>
              <w:numPr>
                <w:ilvl w:val="0"/>
                <w:numId w:val="1"/>
              </w:numPr>
              <w:spacing w:line="360" w:lineRule="auto"/>
            </w:pPr>
            <w:r>
              <w:rPr>
                <w:rFonts w:hint="eastAsia"/>
              </w:rPr>
              <w:t>确保在整个组织推动以顾客为关注焦点；</w:t>
            </w:r>
          </w:p>
          <w:p>
            <w:pPr>
              <w:numPr>
                <w:ilvl w:val="0"/>
                <w:numId w:val="1"/>
              </w:numPr>
              <w:spacing w:line="360" w:lineRule="auto"/>
            </w:pPr>
            <w:r>
              <w:rPr>
                <w:rFonts w:hint="eastAsia"/>
              </w:rPr>
              <w:t>确保在策划和实施质量/环境/职业健康安全管理体系变更时，保持其完整性。</w:t>
            </w:r>
          </w:p>
          <w:p>
            <w:pPr>
              <w:ind w:firstLine="420" w:firstLineChars="200"/>
              <w:rPr>
                <w:rFonts w:hint="eastAsia"/>
              </w:rPr>
            </w:pPr>
            <w:r>
              <w:rPr>
                <w:rFonts w:hint="eastAsia"/>
              </w:rPr>
              <w:t>办公室主任的任职资格为：大专以上学历，具有相关专业背景，熟悉企业管理及办公室工作，从事本行业3年以上，具有较强的组织领导能力。</w:t>
            </w:r>
          </w:p>
          <w:p>
            <w:pPr>
              <w:ind w:firstLine="420" w:firstLineChars="200"/>
            </w:pPr>
            <w:r>
              <w:rPr>
                <w:rFonts w:hint="eastAsia"/>
              </w:rPr>
              <w:t>职责明确，回答基本正确，沟通顺畅。</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160" w:type="dxa"/>
            <w:vAlign w:val="center"/>
          </w:tcPr>
          <w:p>
            <w:pPr>
              <w:rPr>
                <w:rFonts w:cs="宋体"/>
              </w:rPr>
            </w:pPr>
            <w:r>
              <w:rPr>
                <w:rFonts w:hint="eastAsia" w:cs="宋体"/>
              </w:rPr>
              <w:t>工作人员的协商和参与(员工代表）</w:t>
            </w:r>
          </w:p>
        </w:tc>
        <w:tc>
          <w:tcPr>
            <w:tcW w:w="960" w:type="dxa"/>
            <w:vAlign w:val="center"/>
          </w:tcPr>
          <w:p>
            <w:r>
              <w:rPr>
                <w:rFonts w:hint="eastAsia"/>
              </w:rPr>
              <w:t>O5.4</w:t>
            </w:r>
          </w:p>
        </w:tc>
        <w:tc>
          <w:tcPr>
            <w:tcW w:w="10694" w:type="dxa"/>
            <w:vAlign w:val="center"/>
          </w:tcPr>
          <w:p>
            <w:r>
              <w:rPr>
                <w:rFonts w:hint="eastAsia"/>
              </w:rPr>
              <w:t>企业按标准要求，为各适用层次和职能的员工及其员工代表在职业健康安全管理体系的开发、策划、实施、绩效评价和实施改进时的协商和参与。包括：协商和参与提供所需的机制、时间、培训和资源；</w:t>
            </w:r>
          </w:p>
          <w:p>
            <w:r>
              <w:rPr>
                <w:rFonts w:hint="eastAsia"/>
              </w:rPr>
              <w:t>向员工和员工代表提供有关职业健康安全管理体系清晰的、可理解的和必要的信息；确定并消除影响参与的障碍或壁垒，并尽量减少那些无法消除的障碍或壁垒；</w:t>
            </w:r>
          </w:p>
          <w:p>
            <w:r>
              <w:rPr>
                <w:rFonts w:hint="eastAsia"/>
              </w:rPr>
              <w:t>主要协商：员工需求和期望；公司的职业健康安全方针；需要履行法定要求和其它要求；安全目标；需监视、测量和评价的内容等</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160" w:type="dxa"/>
          </w:tcPr>
          <w:p>
            <w:pPr>
              <w:spacing w:line="280" w:lineRule="exact"/>
              <w:rPr>
                <w:rFonts w:ascii="宋体" w:hAnsi="宋体" w:cs="宋体"/>
                <w:szCs w:val="21"/>
              </w:rPr>
            </w:pPr>
            <w:r>
              <w:rPr>
                <w:rFonts w:hint="eastAsia" w:ascii="宋体" w:hAnsi="宋体" w:cs="宋体"/>
                <w:szCs w:val="21"/>
              </w:rPr>
              <w:t>应对风险和机遇的措施</w:t>
            </w:r>
          </w:p>
          <w:p>
            <w:pPr>
              <w:spacing w:line="280" w:lineRule="exact"/>
              <w:rPr>
                <w:rFonts w:ascii="宋体" w:hAnsi="宋体" w:cs="宋体"/>
                <w:szCs w:val="21"/>
              </w:rPr>
            </w:pPr>
          </w:p>
        </w:tc>
        <w:tc>
          <w:tcPr>
            <w:tcW w:w="960" w:type="dxa"/>
          </w:tcPr>
          <w:p>
            <w:pPr>
              <w:spacing w:line="280" w:lineRule="exact"/>
              <w:rPr>
                <w:rFonts w:ascii="宋体" w:hAnsi="宋体" w:cs="宋体"/>
                <w:szCs w:val="21"/>
              </w:rPr>
            </w:pPr>
            <w:r>
              <w:rPr>
                <w:rFonts w:hint="eastAsia" w:ascii="宋体" w:hAnsi="宋体" w:cs="宋体"/>
                <w:szCs w:val="21"/>
              </w:rPr>
              <w:t>Q6.1</w:t>
            </w:r>
          </w:p>
          <w:p>
            <w:pPr>
              <w:spacing w:line="280" w:lineRule="exact"/>
              <w:rPr>
                <w:rFonts w:ascii="宋体"/>
                <w:szCs w:val="21"/>
              </w:rPr>
            </w:pPr>
            <w:r>
              <w:rPr>
                <w:rFonts w:hint="eastAsia" w:ascii="宋体" w:cs="宋体"/>
                <w:szCs w:val="21"/>
              </w:rPr>
              <w:t>O</w:t>
            </w:r>
            <w:r>
              <w:rPr>
                <w:rFonts w:ascii="宋体" w:cs="宋体"/>
                <w:szCs w:val="21"/>
              </w:rPr>
              <w:t>6.1.1</w:t>
            </w:r>
          </w:p>
          <w:p>
            <w:pPr>
              <w:spacing w:line="280" w:lineRule="exact"/>
              <w:rPr>
                <w:rFonts w:ascii="宋体" w:hAnsi="宋体" w:cs="宋体"/>
                <w:szCs w:val="21"/>
              </w:rPr>
            </w:pPr>
          </w:p>
          <w:p>
            <w:pPr>
              <w:spacing w:line="280" w:lineRule="exact"/>
            </w:pPr>
          </w:p>
        </w:tc>
        <w:tc>
          <w:tcPr>
            <w:tcW w:w="10694" w:type="dxa"/>
            <w:vAlign w:val="center"/>
          </w:tcPr>
          <w:p>
            <w:pPr>
              <w:rPr>
                <w:rFonts w:ascii="宋体" w:hAnsi="宋体" w:cs="宋体"/>
                <w:szCs w:val="21"/>
              </w:rPr>
            </w:pPr>
            <w:r>
              <w:rPr>
                <w:rFonts w:hint="eastAsia" w:ascii="宋体" w:hAnsi="宋体" w:cs="宋体"/>
                <w:szCs w:val="21"/>
              </w:rPr>
              <w:t>该公司识别出的风险及控制措施如下：</w:t>
            </w:r>
          </w:p>
          <w:tbl>
            <w:tblPr>
              <w:tblStyle w:val="10"/>
              <w:tblW w:w="0" w:type="auto"/>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1365"/>
              <w:gridCol w:w="3630"/>
              <w:gridCol w:w="1198"/>
              <w:gridCol w:w="99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78" w:type="dxa"/>
                  <w:vAlign w:val="center"/>
                </w:tcPr>
                <w:p>
                  <w:pPr>
                    <w:jc w:val="center"/>
                    <w:rPr>
                      <w:sz w:val="24"/>
                    </w:rPr>
                  </w:pPr>
                  <w:r>
                    <w:rPr>
                      <w:rFonts w:hint="eastAsia"/>
                      <w:sz w:val="24"/>
                    </w:rPr>
                    <w:t>名称</w:t>
                  </w:r>
                </w:p>
              </w:tc>
              <w:tc>
                <w:tcPr>
                  <w:tcW w:w="1365" w:type="dxa"/>
                  <w:vAlign w:val="center"/>
                </w:tcPr>
                <w:p>
                  <w:pPr>
                    <w:jc w:val="center"/>
                    <w:rPr>
                      <w:sz w:val="24"/>
                    </w:rPr>
                  </w:pPr>
                  <w:r>
                    <w:rPr>
                      <w:rFonts w:hint="eastAsia"/>
                      <w:sz w:val="24"/>
                    </w:rPr>
                    <w:t>风险/机遇</w:t>
                  </w:r>
                </w:p>
              </w:tc>
              <w:tc>
                <w:tcPr>
                  <w:tcW w:w="3630" w:type="dxa"/>
                  <w:vAlign w:val="center"/>
                </w:tcPr>
                <w:p>
                  <w:pPr>
                    <w:jc w:val="center"/>
                    <w:rPr>
                      <w:sz w:val="24"/>
                    </w:rPr>
                  </w:pPr>
                  <w:r>
                    <w:rPr>
                      <w:rFonts w:hint="eastAsia"/>
                      <w:sz w:val="24"/>
                    </w:rPr>
                    <w:t>对策</w:t>
                  </w:r>
                </w:p>
              </w:tc>
              <w:tc>
                <w:tcPr>
                  <w:tcW w:w="1198" w:type="dxa"/>
                  <w:vAlign w:val="center"/>
                </w:tcPr>
                <w:p>
                  <w:pPr>
                    <w:jc w:val="center"/>
                    <w:rPr>
                      <w:sz w:val="24"/>
                    </w:rPr>
                  </w:pPr>
                  <w:r>
                    <w:rPr>
                      <w:rFonts w:hint="eastAsia"/>
                      <w:sz w:val="24"/>
                    </w:rPr>
                    <w:t>评审情况</w:t>
                  </w:r>
                </w:p>
              </w:tc>
              <w:tc>
                <w:tcPr>
                  <w:tcW w:w="992" w:type="dxa"/>
                  <w:vAlign w:val="center"/>
                </w:tcPr>
                <w:p>
                  <w:pPr>
                    <w:jc w:val="center"/>
                    <w:rPr>
                      <w:sz w:val="24"/>
                    </w:rPr>
                  </w:pPr>
                  <w:r>
                    <w:rPr>
                      <w:rFonts w:hint="eastAsia"/>
                      <w:sz w:val="24"/>
                    </w:rPr>
                    <w:t>评审人</w:t>
                  </w:r>
                </w:p>
              </w:tc>
              <w:tc>
                <w:tcPr>
                  <w:tcW w:w="851" w:type="dxa"/>
                  <w:vAlign w:val="center"/>
                </w:tcPr>
                <w:p>
                  <w:pPr>
                    <w:jc w:val="center"/>
                    <w:rPr>
                      <w:sz w:val="24"/>
                    </w:rPr>
                  </w:pPr>
                  <w:r>
                    <w:rPr>
                      <w:rFonts w:hint="eastAsia"/>
                      <w:sz w:val="24"/>
                    </w:rPr>
                    <w:t>评审时间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78" w:type="dxa"/>
                  <w:vAlign w:val="center"/>
                </w:tcPr>
                <w:p>
                  <w:pPr>
                    <w:jc w:val="left"/>
                    <w:rPr>
                      <w:sz w:val="22"/>
                      <w:szCs w:val="22"/>
                    </w:rPr>
                  </w:pPr>
                  <w:r>
                    <w:rPr>
                      <w:rFonts w:hint="eastAsia" w:ascii="宋体" w:hAnsi="宋体"/>
                      <w:szCs w:val="21"/>
                    </w:rPr>
                    <w:t>质量管理过程风险和机遇</w:t>
                  </w:r>
                </w:p>
              </w:tc>
              <w:tc>
                <w:tcPr>
                  <w:tcW w:w="1365" w:type="dxa"/>
                  <w:vAlign w:val="center"/>
                </w:tcPr>
                <w:p>
                  <w:pPr>
                    <w:jc w:val="center"/>
                    <w:rPr>
                      <w:sz w:val="22"/>
                      <w:szCs w:val="22"/>
                    </w:rPr>
                  </w:pPr>
                  <w:r>
                    <w:rPr>
                      <w:rFonts w:hint="eastAsia"/>
                      <w:sz w:val="22"/>
                      <w:szCs w:val="22"/>
                    </w:rPr>
                    <w:t>风险</w:t>
                  </w:r>
                </w:p>
              </w:tc>
              <w:tc>
                <w:tcPr>
                  <w:tcW w:w="3630" w:type="dxa"/>
                  <w:vAlign w:val="center"/>
                </w:tcPr>
                <w:p>
                  <w:pPr>
                    <w:spacing w:line="360" w:lineRule="exact"/>
                    <w:rPr>
                      <w:rFonts w:ascii="宋体" w:hAnsi="宋体"/>
                      <w:szCs w:val="21"/>
                    </w:rPr>
                  </w:pPr>
                  <w:r>
                    <w:rPr>
                      <w:rFonts w:hint="eastAsia" w:ascii="宋体" w:hAnsi="宋体"/>
                      <w:szCs w:val="21"/>
                    </w:rPr>
                    <w:t>加强市场调研，开发新客户，加强与供应商的沟通，提高服务水平，严把工程和服务质量关；建立稳定的客户群。</w:t>
                  </w:r>
                </w:p>
                <w:p>
                  <w:pPr>
                    <w:jc w:val="center"/>
                    <w:rPr>
                      <w:sz w:val="24"/>
                    </w:rPr>
                  </w:pPr>
                </w:p>
              </w:tc>
              <w:tc>
                <w:tcPr>
                  <w:tcW w:w="1198" w:type="dxa"/>
                  <w:vAlign w:val="center"/>
                </w:tcPr>
                <w:p>
                  <w:pPr>
                    <w:jc w:val="center"/>
                    <w:rPr>
                      <w:sz w:val="24"/>
                    </w:rPr>
                  </w:pPr>
                  <w:r>
                    <w:rPr>
                      <w:rFonts w:hint="eastAsia"/>
                      <w:sz w:val="22"/>
                      <w:szCs w:val="22"/>
                    </w:rPr>
                    <w:t>符合要求</w:t>
                  </w:r>
                </w:p>
              </w:tc>
              <w:tc>
                <w:tcPr>
                  <w:tcW w:w="992" w:type="dxa"/>
                  <w:vAlign w:val="center"/>
                </w:tcPr>
                <w:p>
                  <w:pPr>
                    <w:jc w:val="center"/>
                    <w:rPr>
                      <w:sz w:val="24"/>
                    </w:rPr>
                  </w:pPr>
                  <w:r>
                    <w:rPr>
                      <w:rFonts w:hint="eastAsia"/>
                      <w:sz w:val="24"/>
                    </w:rPr>
                    <w:t>苏立苑</w:t>
                  </w:r>
                </w:p>
              </w:tc>
              <w:tc>
                <w:tcPr>
                  <w:tcW w:w="851" w:type="dxa"/>
                  <w:vAlign w:val="center"/>
                </w:tcPr>
                <w:p>
                  <w:pPr>
                    <w:jc w:val="center"/>
                    <w:rPr>
                      <w:sz w:val="24"/>
                    </w:rPr>
                  </w:pPr>
                  <w:r>
                    <w:rPr>
                      <w:sz w:val="24"/>
                    </w:rPr>
                    <w:t>20</w:t>
                  </w:r>
                  <w:r>
                    <w:rPr>
                      <w:rFonts w:hint="eastAsia"/>
                      <w:sz w:val="24"/>
                    </w:rPr>
                    <w:t>20/</w:t>
                  </w:r>
                  <w:r>
                    <w:rPr>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78" w:type="dxa"/>
                  <w:vAlign w:val="center"/>
                </w:tcPr>
                <w:p>
                  <w:pPr>
                    <w:jc w:val="left"/>
                    <w:rPr>
                      <w:rFonts w:ascii="宋体" w:hAnsi="宋体"/>
                      <w:szCs w:val="21"/>
                    </w:rPr>
                  </w:pPr>
                  <w:r>
                    <w:rPr>
                      <w:rFonts w:hint="eastAsia" w:ascii="宋体" w:hAnsi="宋体"/>
                      <w:szCs w:val="21"/>
                    </w:rPr>
                    <w:t>材料、设备质量</w:t>
                  </w:r>
                </w:p>
              </w:tc>
              <w:tc>
                <w:tcPr>
                  <w:tcW w:w="1365" w:type="dxa"/>
                  <w:vAlign w:val="center"/>
                </w:tcPr>
                <w:p>
                  <w:pPr>
                    <w:jc w:val="center"/>
                    <w:rPr>
                      <w:sz w:val="22"/>
                      <w:szCs w:val="22"/>
                    </w:rPr>
                  </w:pPr>
                  <w:r>
                    <w:rPr>
                      <w:rFonts w:hint="eastAsia"/>
                      <w:sz w:val="22"/>
                      <w:szCs w:val="22"/>
                    </w:rPr>
                    <w:t>风险</w:t>
                  </w:r>
                </w:p>
              </w:tc>
              <w:tc>
                <w:tcPr>
                  <w:tcW w:w="3630" w:type="dxa"/>
                  <w:vAlign w:val="center"/>
                </w:tcPr>
                <w:p>
                  <w:pPr>
                    <w:jc w:val="center"/>
                    <w:rPr>
                      <w:sz w:val="24"/>
                    </w:rPr>
                  </w:pPr>
                  <w:r>
                    <w:rPr>
                      <w:rFonts w:hint="eastAsia" w:ascii="宋体" w:hAnsi="宋体"/>
                      <w:szCs w:val="21"/>
                    </w:rPr>
                    <w:t>加强对公司材料、设备采购供应商的管理，送到工地的相关材料、设备执行验收制度，相关合格证、数量、型号、出厂试验记录需准确，自检合格后再报监理、甲方确认使用</w:t>
                  </w:r>
                </w:p>
              </w:tc>
              <w:tc>
                <w:tcPr>
                  <w:tcW w:w="1198" w:type="dxa"/>
                  <w:vAlign w:val="center"/>
                </w:tcPr>
                <w:p>
                  <w:pPr>
                    <w:jc w:val="center"/>
                    <w:rPr>
                      <w:sz w:val="24"/>
                    </w:rPr>
                  </w:pPr>
                  <w:r>
                    <w:rPr>
                      <w:rFonts w:hint="eastAsia"/>
                      <w:sz w:val="22"/>
                      <w:szCs w:val="22"/>
                    </w:rPr>
                    <w:t>符合要求</w:t>
                  </w:r>
                </w:p>
              </w:tc>
              <w:tc>
                <w:tcPr>
                  <w:tcW w:w="992" w:type="dxa"/>
                </w:tcPr>
                <w:p>
                  <w:r>
                    <w:rPr>
                      <w:rFonts w:hint="eastAsia"/>
                      <w:sz w:val="24"/>
                    </w:rPr>
                    <w:t>苏立苑</w:t>
                  </w:r>
                </w:p>
              </w:tc>
              <w:tc>
                <w:tcPr>
                  <w:tcW w:w="851" w:type="dxa"/>
                  <w:vAlign w:val="center"/>
                </w:tcPr>
                <w:p>
                  <w:pPr>
                    <w:jc w:val="center"/>
                    <w:rPr>
                      <w:sz w:val="24"/>
                    </w:rPr>
                  </w:pPr>
                  <w:r>
                    <w:rPr>
                      <w:sz w:val="24"/>
                    </w:rPr>
                    <w:t>20</w:t>
                  </w:r>
                  <w:r>
                    <w:rPr>
                      <w:rFonts w:hint="eastAsia"/>
                      <w:sz w:val="24"/>
                    </w:rPr>
                    <w:t>20</w:t>
                  </w:r>
                  <w:r>
                    <w:rPr>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78" w:type="dxa"/>
                  <w:vMerge w:val="restart"/>
                  <w:vAlign w:val="center"/>
                </w:tcPr>
                <w:p>
                  <w:pPr>
                    <w:jc w:val="left"/>
                    <w:rPr>
                      <w:rFonts w:ascii="宋体" w:hAnsi="宋体"/>
                      <w:szCs w:val="21"/>
                    </w:rPr>
                  </w:pPr>
                  <w:r>
                    <w:rPr>
                      <w:rFonts w:hint="eastAsia" w:ascii="宋体" w:hAnsi="宋体"/>
                      <w:szCs w:val="21"/>
                    </w:rPr>
                    <w:t>顾客对质量要求严格</w:t>
                  </w:r>
                </w:p>
              </w:tc>
              <w:tc>
                <w:tcPr>
                  <w:tcW w:w="1365" w:type="dxa"/>
                  <w:vAlign w:val="center"/>
                </w:tcPr>
                <w:p>
                  <w:pPr>
                    <w:jc w:val="center"/>
                    <w:rPr>
                      <w:sz w:val="22"/>
                      <w:szCs w:val="22"/>
                    </w:rPr>
                  </w:pPr>
                  <w:r>
                    <w:rPr>
                      <w:rFonts w:hint="eastAsia"/>
                      <w:sz w:val="22"/>
                      <w:szCs w:val="22"/>
                    </w:rPr>
                    <w:t>风险</w:t>
                  </w:r>
                </w:p>
              </w:tc>
              <w:tc>
                <w:tcPr>
                  <w:tcW w:w="3630" w:type="dxa"/>
                  <w:vAlign w:val="center"/>
                </w:tcPr>
                <w:p>
                  <w:pPr>
                    <w:spacing w:line="360" w:lineRule="exact"/>
                    <w:rPr>
                      <w:rFonts w:ascii="宋体" w:hAnsi="宋体"/>
                      <w:szCs w:val="21"/>
                    </w:rPr>
                  </w:pPr>
                  <w:r>
                    <w:rPr>
                      <w:rFonts w:hint="eastAsia" w:ascii="宋体" w:hAnsi="宋体"/>
                      <w:szCs w:val="21"/>
                    </w:rPr>
                    <w:t>一方面加强内部管理和培训，提升人员素质； 另一方面加强供应商准入和绩效评价管理，确保采购产品质量合格；第三加强与顾客的沟通和联系，满足顾客要求。</w:t>
                  </w:r>
                </w:p>
                <w:p>
                  <w:pPr>
                    <w:jc w:val="center"/>
                    <w:rPr>
                      <w:rFonts w:ascii="宋体" w:hAnsi="宋体"/>
                      <w:szCs w:val="21"/>
                    </w:rPr>
                  </w:pPr>
                </w:p>
              </w:tc>
              <w:tc>
                <w:tcPr>
                  <w:tcW w:w="1198" w:type="dxa"/>
                  <w:vAlign w:val="center"/>
                </w:tcPr>
                <w:p>
                  <w:pPr>
                    <w:jc w:val="center"/>
                    <w:rPr>
                      <w:sz w:val="24"/>
                    </w:rPr>
                  </w:pPr>
                  <w:r>
                    <w:rPr>
                      <w:rFonts w:hint="eastAsia"/>
                      <w:sz w:val="22"/>
                      <w:szCs w:val="22"/>
                    </w:rPr>
                    <w:t>符合要求</w:t>
                  </w:r>
                </w:p>
              </w:tc>
              <w:tc>
                <w:tcPr>
                  <w:tcW w:w="992" w:type="dxa"/>
                </w:tcPr>
                <w:p>
                  <w:r>
                    <w:rPr>
                      <w:rFonts w:hint="eastAsia"/>
                      <w:sz w:val="24"/>
                    </w:rPr>
                    <w:t>苏立苑</w:t>
                  </w:r>
                </w:p>
              </w:tc>
              <w:tc>
                <w:tcPr>
                  <w:tcW w:w="851" w:type="dxa"/>
                  <w:vAlign w:val="center"/>
                </w:tcPr>
                <w:p>
                  <w:pPr>
                    <w:jc w:val="center"/>
                    <w:rPr>
                      <w:sz w:val="24"/>
                    </w:rPr>
                  </w:pPr>
                  <w:r>
                    <w:rPr>
                      <w:sz w:val="24"/>
                    </w:rPr>
                    <w:t>20</w:t>
                  </w:r>
                  <w:r>
                    <w:rPr>
                      <w:rFonts w:hint="eastAsia"/>
                      <w:sz w:val="24"/>
                    </w:rPr>
                    <w:t>20</w:t>
                  </w:r>
                  <w:r>
                    <w:rPr>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78" w:type="dxa"/>
                  <w:vMerge w:val="continue"/>
                  <w:vAlign w:val="center"/>
                </w:tcPr>
                <w:p>
                  <w:pPr>
                    <w:jc w:val="left"/>
                    <w:rPr>
                      <w:rFonts w:ascii="宋体" w:hAnsi="宋体"/>
                      <w:szCs w:val="21"/>
                    </w:rPr>
                  </w:pPr>
                </w:p>
              </w:tc>
              <w:tc>
                <w:tcPr>
                  <w:tcW w:w="1365" w:type="dxa"/>
                  <w:vAlign w:val="center"/>
                </w:tcPr>
                <w:p>
                  <w:pPr>
                    <w:jc w:val="center"/>
                    <w:rPr>
                      <w:sz w:val="22"/>
                      <w:szCs w:val="22"/>
                    </w:rPr>
                  </w:pPr>
                  <w:r>
                    <w:rPr>
                      <w:rFonts w:hint="eastAsia"/>
                      <w:sz w:val="22"/>
                      <w:szCs w:val="22"/>
                    </w:rPr>
                    <w:t>机遇</w:t>
                  </w:r>
                </w:p>
              </w:tc>
              <w:tc>
                <w:tcPr>
                  <w:tcW w:w="3630" w:type="dxa"/>
                  <w:vAlign w:val="center"/>
                </w:tcPr>
                <w:p>
                  <w:pPr>
                    <w:spacing w:line="360" w:lineRule="exact"/>
                    <w:rPr>
                      <w:rFonts w:ascii="宋体" w:hAnsi="宋体"/>
                      <w:szCs w:val="21"/>
                    </w:rPr>
                  </w:pPr>
                  <w:r>
                    <w:rPr>
                      <w:rFonts w:hint="eastAsia" w:ascii="宋体" w:hAnsi="宋体"/>
                      <w:szCs w:val="21"/>
                    </w:rPr>
                    <w:t>长期稳定加强合作，增加市场影响力；</w:t>
                  </w:r>
                </w:p>
              </w:tc>
              <w:tc>
                <w:tcPr>
                  <w:tcW w:w="1198" w:type="dxa"/>
                  <w:vAlign w:val="center"/>
                </w:tcPr>
                <w:p>
                  <w:pPr>
                    <w:jc w:val="center"/>
                    <w:rPr>
                      <w:sz w:val="24"/>
                    </w:rPr>
                  </w:pPr>
                  <w:r>
                    <w:rPr>
                      <w:rFonts w:hint="eastAsia"/>
                      <w:sz w:val="22"/>
                      <w:szCs w:val="22"/>
                    </w:rPr>
                    <w:t>符合要求</w:t>
                  </w:r>
                </w:p>
              </w:tc>
              <w:tc>
                <w:tcPr>
                  <w:tcW w:w="992" w:type="dxa"/>
                </w:tcPr>
                <w:p>
                  <w:r>
                    <w:rPr>
                      <w:rFonts w:hint="eastAsia"/>
                      <w:sz w:val="24"/>
                    </w:rPr>
                    <w:t>苏立苑</w:t>
                  </w:r>
                </w:p>
              </w:tc>
              <w:tc>
                <w:tcPr>
                  <w:tcW w:w="851" w:type="dxa"/>
                  <w:vAlign w:val="center"/>
                </w:tcPr>
                <w:p>
                  <w:pPr>
                    <w:jc w:val="center"/>
                    <w:rPr>
                      <w:sz w:val="24"/>
                    </w:rPr>
                  </w:pPr>
                  <w:r>
                    <w:rPr>
                      <w:sz w:val="24"/>
                    </w:rPr>
                    <w:t>20</w:t>
                  </w:r>
                  <w:r>
                    <w:rPr>
                      <w:rFonts w:hint="eastAsia"/>
                      <w:sz w:val="24"/>
                    </w:rPr>
                    <w:t>20</w:t>
                  </w:r>
                  <w:r>
                    <w:rPr>
                      <w:sz w:val="24"/>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78" w:type="dxa"/>
                  <w:vAlign w:val="center"/>
                </w:tcPr>
                <w:p>
                  <w:pPr>
                    <w:jc w:val="left"/>
                    <w:rPr>
                      <w:sz w:val="22"/>
                      <w:szCs w:val="22"/>
                    </w:rPr>
                  </w:pPr>
                  <w:r>
                    <w:rPr>
                      <w:rFonts w:hint="eastAsia"/>
                      <w:sz w:val="22"/>
                      <w:szCs w:val="22"/>
                    </w:rPr>
                    <w:t>环境及职业健康健全管理</w:t>
                  </w:r>
                </w:p>
              </w:tc>
              <w:tc>
                <w:tcPr>
                  <w:tcW w:w="1365" w:type="dxa"/>
                  <w:vAlign w:val="center"/>
                </w:tcPr>
                <w:p>
                  <w:pPr>
                    <w:jc w:val="center"/>
                    <w:rPr>
                      <w:sz w:val="22"/>
                      <w:szCs w:val="22"/>
                    </w:rPr>
                  </w:pPr>
                  <w:r>
                    <w:rPr>
                      <w:rFonts w:hint="eastAsia"/>
                      <w:sz w:val="22"/>
                      <w:szCs w:val="22"/>
                    </w:rPr>
                    <w:t>风险</w:t>
                  </w:r>
                </w:p>
              </w:tc>
              <w:tc>
                <w:tcPr>
                  <w:tcW w:w="3630" w:type="dxa"/>
                  <w:vAlign w:val="center"/>
                </w:tcPr>
                <w:p>
                  <w:r>
                    <w:rPr>
                      <w:rFonts w:hint="eastAsia"/>
                    </w:rPr>
                    <w:t>行业环境设施和安全设施管理投入竞争和生存风险，环保的投入可能导致成本的增加；应对措施：降低管理费，压缩管理成本；提供行业竞争力。</w:t>
                  </w:r>
                </w:p>
              </w:tc>
              <w:tc>
                <w:tcPr>
                  <w:tcW w:w="1198" w:type="dxa"/>
                  <w:vAlign w:val="center"/>
                </w:tcPr>
                <w:p>
                  <w:pPr>
                    <w:jc w:val="center"/>
                    <w:rPr>
                      <w:sz w:val="24"/>
                    </w:rPr>
                  </w:pPr>
                  <w:r>
                    <w:rPr>
                      <w:rFonts w:hint="eastAsia"/>
                      <w:sz w:val="22"/>
                      <w:szCs w:val="22"/>
                    </w:rPr>
                    <w:t>符合要求</w:t>
                  </w:r>
                </w:p>
              </w:tc>
              <w:tc>
                <w:tcPr>
                  <w:tcW w:w="992" w:type="dxa"/>
                  <w:vAlign w:val="center"/>
                </w:tcPr>
                <w:p>
                  <w:pPr>
                    <w:jc w:val="center"/>
                    <w:rPr>
                      <w:sz w:val="24"/>
                    </w:rPr>
                  </w:pPr>
                  <w:r>
                    <w:rPr>
                      <w:rFonts w:hint="eastAsia"/>
                      <w:sz w:val="24"/>
                    </w:rPr>
                    <w:t>苏立苑</w:t>
                  </w:r>
                </w:p>
              </w:tc>
              <w:tc>
                <w:tcPr>
                  <w:tcW w:w="851" w:type="dxa"/>
                  <w:vAlign w:val="center"/>
                </w:tcPr>
                <w:p>
                  <w:pPr>
                    <w:jc w:val="center"/>
                    <w:rPr>
                      <w:sz w:val="24"/>
                    </w:rPr>
                  </w:pPr>
                  <w:r>
                    <w:rPr>
                      <w:sz w:val="24"/>
                    </w:rPr>
                    <w:t>20</w:t>
                  </w:r>
                  <w:r>
                    <w:rPr>
                      <w:rFonts w:hint="eastAsia"/>
                      <w:sz w:val="24"/>
                    </w:rPr>
                    <w:t>20</w:t>
                  </w:r>
                  <w:r>
                    <w:rPr>
                      <w:sz w:val="24"/>
                    </w:rPr>
                    <w:t>/1/18</w:t>
                  </w:r>
                </w:p>
              </w:tc>
            </w:tr>
          </w:tbl>
          <w:p>
            <w:pPr>
              <w:pStyle w:val="12"/>
            </w:pP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160" w:type="dxa"/>
          </w:tcPr>
          <w:p>
            <w:pPr>
              <w:spacing w:line="280" w:lineRule="exact"/>
              <w:rPr>
                <w:szCs w:val="21"/>
              </w:rPr>
            </w:pPr>
            <w:r>
              <w:rPr>
                <w:rFonts w:hint="eastAsia" w:cs="宋体"/>
                <w:szCs w:val="21"/>
              </w:rPr>
              <w:t>措施的策划</w:t>
            </w:r>
          </w:p>
          <w:p>
            <w:pPr>
              <w:spacing w:line="280" w:lineRule="exact"/>
              <w:rPr>
                <w:rFonts w:ascii="宋体" w:hAnsi="宋体" w:cs="宋体"/>
                <w:szCs w:val="21"/>
              </w:rPr>
            </w:pPr>
          </w:p>
        </w:tc>
        <w:tc>
          <w:tcPr>
            <w:tcW w:w="960" w:type="dxa"/>
          </w:tcPr>
          <w:p>
            <w:pPr>
              <w:spacing w:line="280" w:lineRule="exact"/>
              <w:rPr>
                <w:szCs w:val="21"/>
              </w:rPr>
            </w:pPr>
            <w:r>
              <w:rPr>
                <w:rFonts w:hint="eastAsia"/>
                <w:szCs w:val="21"/>
              </w:rPr>
              <w:t>O6.1.4</w:t>
            </w:r>
          </w:p>
          <w:p>
            <w:pPr>
              <w:spacing w:line="280" w:lineRule="exact"/>
            </w:pPr>
          </w:p>
        </w:tc>
        <w:tc>
          <w:tcPr>
            <w:tcW w:w="10694" w:type="dxa"/>
            <w:vAlign w:val="center"/>
          </w:tcPr>
          <w:p>
            <w:pPr>
              <w:pStyle w:val="12"/>
            </w:pPr>
            <w:r>
              <w:rPr>
                <w:rFonts w:hint="eastAsia"/>
              </w:rPr>
              <w:t>见上述条款的控制措施。</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160" w:type="dxa"/>
          </w:tcPr>
          <w:p>
            <w:pPr>
              <w:spacing w:line="280" w:lineRule="exact"/>
              <w:rPr>
                <w:rFonts w:ascii="宋体" w:hAnsi="宋体" w:cs="宋体"/>
                <w:szCs w:val="21"/>
              </w:rPr>
            </w:pPr>
            <w:r>
              <w:rPr>
                <w:rFonts w:hint="eastAsia" w:ascii="宋体" w:hAnsi="宋体" w:cs="宋体"/>
                <w:szCs w:val="21"/>
              </w:rPr>
              <w:t>管理目标及其实现的策划</w:t>
            </w:r>
          </w:p>
          <w:p>
            <w:pPr>
              <w:spacing w:line="280" w:lineRule="exact"/>
              <w:rPr>
                <w:rFonts w:ascii="宋体" w:hAnsi="宋体" w:cs="宋体"/>
                <w:szCs w:val="21"/>
              </w:rPr>
            </w:pPr>
          </w:p>
        </w:tc>
        <w:tc>
          <w:tcPr>
            <w:tcW w:w="960" w:type="dxa"/>
          </w:tcPr>
          <w:p>
            <w:pPr>
              <w:spacing w:line="2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QO6.2</w:t>
            </w:r>
          </w:p>
          <w:p>
            <w:pPr>
              <w:spacing w:line="280" w:lineRule="exact"/>
              <w:rPr>
                <w:rFonts w:asciiTheme="minorEastAsia" w:hAnsiTheme="minorEastAsia" w:eastAsiaTheme="minorEastAsia" w:cstheme="minorEastAsia"/>
                <w:szCs w:val="21"/>
              </w:rPr>
            </w:pPr>
          </w:p>
        </w:tc>
        <w:tc>
          <w:tcPr>
            <w:tcW w:w="10694" w:type="dxa"/>
            <w:vAlign w:val="center"/>
          </w:tcPr>
          <w:p>
            <w:pPr>
              <w:spacing w:line="280" w:lineRule="exact"/>
              <w:ind w:firstLine="420" w:firstLineChars="200"/>
            </w:pPr>
            <w:r>
              <w:rPr>
                <w:rFonts w:hint="eastAsia"/>
              </w:rPr>
              <w:t>公司对管理体系所需的相关职能、层次和过程设定管理目标。</w:t>
            </w:r>
          </w:p>
          <w:p>
            <w:pPr>
              <w:spacing w:line="460" w:lineRule="exact"/>
              <w:jc w:val="left"/>
              <w:rPr>
                <w:rFonts w:hint="eastAsia" w:ascii="宋体" w:hAnsi="宋体"/>
                <w:b/>
                <w:bCs/>
                <w:color w:val="000000"/>
                <w:sz w:val="24"/>
              </w:rPr>
            </w:pPr>
            <w:r>
              <w:rPr>
                <w:rFonts w:hint="eastAsia" w:ascii="宋体" w:hAnsi="宋体"/>
                <w:b/>
                <w:bCs/>
                <w:color w:val="000000"/>
                <w:sz w:val="24"/>
              </w:rPr>
              <w:t>公司总目标：</w:t>
            </w:r>
          </w:p>
          <w:p>
            <w:pPr>
              <w:spacing w:line="400" w:lineRule="exact"/>
              <w:ind w:firstLine="560" w:firstLineChars="200"/>
              <w:rPr>
                <w:rFonts w:hint="eastAsia" w:ascii="宋体" w:hAnsi="宋体"/>
                <w:spacing w:val="20"/>
                <w:sz w:val="24"/>
              </w:rPr>
            </w:pPr>
            <w:r>
              <w:rPr>
                <w:rFonts w:hint="eastAsia" w:ascii="宋体" w:hAnsi="宋体"/>
                <w:spacing w:val="20"/>
                <w:sz w:val="24"/>
              </w:rPr>
              <w:t>顾客满意度95分以上；</w:t>
            </w:r>
          </w:p>
          <w:p>
            <w:pPr>
              <w:spacing w:line="400" w:lineRule="exact"/>
              <w:ind w:firstLine="560" w:firstLineChars="200"/>
              <w:rPr>
                <w:rFonts w:hint="eastAsia" w:ascii="宋体" w:hAnsi="宋体"/>
                <w:spacing w:val="20"/>
                <w:sz w:val="24"/>
              </w:rPr>
            </w:pPr>
            <w:r>
              <w:rPr>
                <w:rFonts w:hint="eastAsia" w:ascii="宋体" w:hAnsi="宋体"/>
                <w:spacing w:val="20"/>
                <w:sz w:val="24"/>
              </w:rPr>
              <w:t>固废分类处置率100%；</w:t>
            </w:r>
          </w:p>
          <w:p>
            <w:pPr>
              <w:spacing w:line="400" w:lineRule="exact"/>
              <w:ind w:firstLine="560" w:firstLineChars="200"/>
              <w:rPr>
                <w:rFonts w:hint="eastAsia" w:ascii="宋体" w:hAnsi="宋体"/>
                <w:spacing w:val="20"/>
                <w:sz w:val="24"/>
              </w:rPr>
            </w:pPr>
            <w:r>
              <w:rPr>
                <w:rFonts w:hint="eastAsia" w:ascii="宋体" w:hAnsi="宋体"/>
                <w:spacing w:val="20"/>
                <w:sz w:val="24"/>
              </w:rPr>
              <w:t>轻伤事故少于3起/年；</w:t>
            </w:r>
          </w:p>
          <w:p>
            <w:pPr>
              <w:spacing w:line="400" w:lineRule="exact"/>
              <w:ind w:firstLine="560" w:firstLineChars="200"/>
              <w:rPr>
                <w:rFonts w:ascii="宋体" w:hAnsi="宋体"/>
                <w:spacing w:val="20"/>
                <w:sz w:val="24"/>
              </w:rPr>
            </w:pPr>
            <w:r>
              <w:rPr>
                <w:rFonts w:hint="eastAsia" w:ascii="宋体" w:hAnsi="宋体"/>
                <w:spacing w:val="20"/>
                <w:sz w:val="24"/>
              </w:rPr>
              <w:t>无火灾及重大安全事故发生。</w:t>
            </w:r>
          </w:p>
          <w:p>
            <w:pPr>
              <w:spacing w:line="400" w:lineRule="exact"/>
              <w:ind w:firstLine="560" w:firstLineChars="200"/>
              <w:rPr>
                <w:rFonts w:ascii="宋体" w:hAnsi="宋体"/>
                <w:spacing w:val="20"/>
                <w:sz w:val="24"/>
              </w:rPr>
            </w:pPr>
            <w:r>
              <w:rPr>
                <w:rFonts w:hint="eastAsia" w:ascii="宋体" w:hAnsi="宋体"/>
                <w:spacing w:val="20"/>
                <w:sz w:val="24"/>
              </w:rPr>
              <w:t>无职业病发生</w:t>
            </w:r>
          </w:p>
          <w:p>
            <w:pPr>
              <w:spacing w:line="280" w:lineRule="exact"/>
              <w:ind w:firstLine="420" w:firstLineChars="200"/>
            </w:pPr>
            <w:r>
              <w:rPr>
                <w:rFonts w:hint="eastAsia"/>
              </w:rPr>
              <w:t>目标可测量，与公司管理方针一致。</w:t>
            </w:r>
          </w:p>
          <w:p>
            <w:pPr>
              <w:spacing w:line="460" w:lineRule="exact"/>
              <w:jc w:val="left"/>
              <w:rPr>
                <w:rFonts w:hint="eastAsia" w:ascii="宋体" w:hAnsi="宋体"/>
                <w:b/>
                <w:bCs/>
                <w:color w:val="000000"/>
                <w:sz w:val="24"/>
              </w:rPr>
            </w:pPr>
            <w:r>
              <w:rPr>
                <w:rFonts w:hint="eastAsia" w:ascii="宋体" w:hAnsi="宋体"/>
                <w:b/>
                <w:bCs/>
                <w:color w:val="000000"/>
                <w:sz w:val="24"/>
              </w:rPr>
              <w:t>办公室的目标分解为：</w:t>
            </w:r>
          </w:p>
          <w:p>
            <w:pPr>
              <w:spacing w:line="460" w:lineRule="exact"/>
              <w:jc w:val="left"/>
              <w:rPr>
                <w:rFonts w:hint="eastAsia" w:ascii="宋体" w:hAnsi="宋体"/>
                <w:color w:val="000000"/>
                <w:sz w:val="24"/>
              </w:rPr>
            </w:pPr>
            <w:r>
              <w:rPr>
                <w:rFonts w:hint="eastAsia" w:ascii="宋体" w:hAnsi="宋体"/>
                <w:color w:val="000000"/>
                <w:sz w:val="24"/>
              </w:rPr>
              <w:t>1文件受控率100%；</w:t>
            </w:r>
          </w:p>
          <w:p>
            <w:pPr>
              <w:spacing w:line="460" w:lineRule="exact"/>
              <w:jc w:val="left"/>
              <w:rPr>
                <w:rFonts w:hint="eastAsia" w:ascii="宋体" w:hAnsi="宋体"/>
                <w:color w:val="000000"/>
                <w:sz w:val="24"/>
              </w:rPr>
            </w:pPr>
            <w:r>
              <w:rPr>
                <w:rFonts w:hint="eastAsia" w:ascii="宋体" w:hAnsi="宋体"/>
                <w:color w:val="000000"/>
                <w:sz w:val="24"/>
              </w:rPr>
              <w:t>2主要岗位培训率100%；</w:t>
            </w:r>
          </w:p>
          <w:p>
            <w:pPr>
              <w:spacing w:line="460" w:lineRule="exact"/>
              <w:jc w:val="left"/>
              <w:rPr>
                <w:rFonts w:hint="eastAsia" w:ascii="宋体" w:hAnsi="宋体"/>
                <w:color w:val="000000"/>
                <w:sz w:val="24"/>
              </w:rPr>
            </w:pPr>
            <w:r>
              <w:rPr>
                <w:rFonts w:hint="eastAsia" w:ascii="宋体" w:hAnsi="宋体"/>
                <w:color w:val="000000"/>
                <w:sz w:val="24"/>
              </w:rPr>
              <w:t>3固废分类处置率100%；</w:t>
            </w:r>
          </w:p>
          <w:p>
            <w:pPr>
              <w:spacing w:line="460" w:lineRule="exact"/>
              <w:jc w:val="left"/>
              <w:rPr>
                <w:rFonts w:hint="eastAsia" w:ascii="宋体" w:hAnsi="宋体"/>
                <w:color w:val="000000"/>
                <w:sz w:val="24"/>
              </w:rPr>
            </w:pPr>
            <w:r>
              <w:rPr>
                <w:rFonts w:hint="eastAsia" w:ascii="宋体" w:hAnsi="宋体"/>
                <w:color w:val="000000"/>
                <w:sz w:val="24"/>
              </w:rPr>
              <w:t>4安全及火灾事故为0；</w:t>
            </w:r>
          </w:p>
          <w:p>
            <w:pPr>
              <w:spacing w:line="460" w:lineRule="exact"/>
              <w:jc w:val="left"/>
              <w:rPr>
                <w:rFonts w:hint="eastAsia" w:ascii="宋体" w:hAnsi="宋体"/>
                <w:color w:val="000000"/>
                <w:sz w:val="24"/>
              </w:rPr>
            </w:pPr>
            <w:r>
              <w:rPr>
                <w:rFonts w:hint="eastAsia" w:ascii="宋体" w:hAnsi="宋体"/>
                <w:color w:val="000000"/>
                <w:sz w:val="24"/>
              </w:rPr>
              <w:t>5环保安全资金落实率100%；</w:t>
            </w:r>
          </w:p>
          <w:p>
            <w:pPr>
              <w:pStyle w:val="12"/>
              <w:rPr>
                <w:rFonts w:hint="eastAsia"/>
              </w:rPr>
            </w:pPr>
            <w:r>
              <w:rPr>
                <w:rFonts w:hint="eastAsia"/>
              </w:rPr>
              <w:t>每年由办公室按公司管理目标考核要求统计考核公司管理目标完成情况，提交管理评审会议。查到2</w:t>
            </w:r>
            <w:r>
              <w:t>019</w:t>
            </w:r>
            <w:r>
              <w:rPr>
                <w:rFonts w:hint="eastAsia"/>
              </w:rPr>
              <w:t>年7月-</w:t>
            </w:r>
            <w:r>
              <w:t>2020</w:t>
            </w:r>
            <w:r>
              <w:rPr>
                <w:rFonts w:hint="eastAsia"/>
              </w:rPr>
              <w:t>年5月，公司管理目标完成情况，各项目标均已完成，考核部门办公室。</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 “环境</w:t>
            </w:r>
            <w:r>
              <w:rPr>
                <w:rFonts w:asciiTheme="minorEastAsia" w:hAnsiTheme="minorEastAsia" w:eastAsiaTheme="minorEastAsia" w:cstheme="minorEastAsia"/>
                <w:szCs w:val="21"/>
              </w:rPr>
              <w:t>目标、指标和管理方案</w:t>
            </w:r>
            <w:r>
              <w:rPr>
                <w:rFonts w:hint="eastAsia" w:asciiTheme="minorEastAsia" w:hAnsiTheme="minorEastAsia" w:eastAsiaTheme="minorEastAsia" w:cstheme="minorEastAsia"/>
                <w:szCs w:val="21"/>
              </w:rPr>
              <w:t>”和“</w:t>
            </w:r>
            <w:r>
              <w:rPr>
                <w:rFonts w:asciiTheme="minorEastAsia" w:hAnsiTheme="minorEastAsia" w:eastAsiaTheme="minorEastAsia" w:cstheme="minorEastAsia"/>
                <w:szCs w:val="21"/>
              </w:rPr>
              <w:t>职业健康安全目标、指标和管理方案</w:t>
            </w:r>
            <w:r>
              <w:rPr>
                <w:rFonts w:hint="eastAsia" w:asciiTheme="minorEastAsia" w:hAnsiTheme="minorEastAsia" w:eastAsiaTheme="minorEastAsia" w:cstheme="minorEastAsia"/>
                <w:szCs w:val="21"/>
              </w:rPr>
              <w:t>”，公司针对重要环境因素和重大危险源制订了相应的管理方案。</w:t>
            </w:r>
          </w:p>
          <w:p>
            <w:pPr>
              <w:pStyle w:val="12"/>
            </w:pP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160" w:type="dxa"/>
            <w:vAlign w:val="center"/>
          </w:tcPr>
          <w:p>
            <w:r>
              <w:rPr>
                <w:rFonts w:hint="eastAsia"/>
                <w:szCs w:val="21"/>
              </w:rPr>
              <w:t>危险源识别</w:t>
            </w:r>
          </w:p>
        </w:tc>
        <w:tc>
          <w:tcPr>
            <w:tcW w:w="960" w:type="dxa"/>
            <w:vAlign w:val="center"/>
          </w:tcPr>
          <w:p>
            <w:pPr>
              <w:rPr>
                <w:szCs w:val="21"/>
              </w:rPr>
            </w:pPr>
            <w:r>
              <w:rPr>
                <w:rFonts w:hint="eastAsia"/>
                <w:szCs w:val="21"/>
              </w:rPr>
              <w:t>O6.1.2</w:t>
            </w:r>
          </w:p>
          <w:p/>
        </w:tc>
        <w:tc>
          <w:tcPr>
            <w:tcW w:w="10694" w:type="dxa"/>
            <w:vAlign w:val="center"/>
          </w:tcPr>
          <w:p>
            <w:pPr>
              <w:spacing w:line="394" w:lineRule="exact"/>
              <w:ind w:firstLine="420" w:firstLineChars="200"/>
              <w:rPr>
                <w:rFonts w:hint="eastAsia"/>
                <w:szCs w:val="21"/>
              </w:rPr>
            </w:pPr>
            <w:r>
              <w:rPr>
                <w:rFonts w:hint="eastAsia"/>
                <w:szCs w:val="21"/>
              </w:rPr>
              <w:t>编制了</w:t>
            </w:r>
            <w:r>
              <w:rPr>
                <w:rFonts w:hint="eastAsia"/>
                <w:sz w:val="22"/>
                <w:szCs w:val="28"/>
              </w:rPr>
              <w:t>HBHP-B0</w:t>
            </w:r>
            <w:r>
              <w:rPr>
                <w:sz w:val="22"/>
                <w:szCs w:val="28"/>
              </w:rPr>
              <w:t>1</w:t>
            </w:r>
            <w:r>
              <w:rPr>
                <w:rFonts w:hint="eastAsia"/>
                <w:sz w:val="22"/>
                <w:szCs w:val="28"/>
              </w:rPr>
              <w:t>-2020</w:t>
            </w:r>
            <w:r>
              <w:rPr>
                <w:szCs w:val="21"/>
              </w:rPr>
              <w:t>《</w:t>
            </w:r>
            <w:r>
              <w:rPr>
                <w:rFonts w:hint="eastAsia"/>
                <w:sz w:val="22"/>
                <w:szCs w:val="28"/>
              </w:rPr>
              <w:t>环境因素和危险源识别评价与控制程序</w:t>
            </w:r>
            <w:r>
              <w:rPr>
                <w:szCs w:val="21"/>
              </w:rPr>
              <w:t>》</w:t>
            </w:r>
            <w:r>
              <w:rPr>
                <w:rFonts w:hint="eastAsia"/>
                <w:szCs w:val="21"/>
              </w:rPr>
              <w:t>符合标准要求，对影响职业健康安全的危险源，评价其风险程度及级别，不可接受风险评价的标准和更新的时机,并确定更新不可接受风险因素从而进行有效控制等方面的管理要求进行了规定，满足要求。</w:t>
            </w:r>
          </w:p>
          <w:p>
            <w:pPr>
              <w:spacing w:line="394" w:lineRule="exact"/>
              <w:ind w:firstLine="420" w:firstLineChars="200"/>
              <w:rPr>
                <w:szCs w:val="21"/>
              </w:rPr>
            </w:pPr>
            <w:r>
              <w:rPr>
                <w:rFonts w:hint="eastAsia"/>
                <w:szCs w:val="21"/>
              </w:rPr>
              <w:t>企业提供的：“危险源识别与风险评价表”、“不可接受风险源清单”，评价考虑了将来、状态、可能导致的事件，并进行了评价，用打分法考虑了法规符合性、发生频次、影响范围等, 通过是非法，共识别出不可接受风险8项，涉及：</w:t>
            </w:r>
            <w:r>
              <w:rPr>
                <w:rFonts w:hint="eastAsia"/>
              </w:rPr>
              <w:t>用电线路短路、老化产生火灾</w:t>
            </w:r>
            <w:r>
              <w:rPr>
                <w:rFonts w:hint="eastAsia"/>
                <w:bCs/>
                <w:szCs w:val="21"/>
              </w:rPr>
              <w:t>、</w:t>
            </w:r>
            <w:r>
              <w:rPr>
                <w:rFonts w:hint="eastAsia"/>
              </w:rPr>
              <w:t>喷漆过程漆雾吸入</w:t>
            </w:r>
            <w:r>
              <w:rPr>
                <w:rFonts w:hint="eastAsia"/>
                <w:szCs w:val="21"/>
              </w:rPr>
              <w:t>，评价符合程序要求及公司的实际情况。对危险源的控制措施包括制定</w:t>
            </w:r>
            <w:r>
              <w:rPr>
                <w:rFonts w:hint="eastAsia"/>
              </w:rPr>
              <w:t>目标指标和管理方案</w:t>
            </w:r>
            <w:r>
              <w:rPr>
                <w:rFonts w:hint="eastAsia"/>
                <w:szCs w:val="21"/>
              </w:rPr>
              <w:t>、控制检查、应急预案、教育培训等。</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160" w:type="dxa"/>
            <w:vAlign w:val="center"/>
          </w:tcPr>
          <w:p>
            <w:r>
              <w:rPr>
                <w:rFonts w:hint="eastAsia"/>
                <w:szCs w:val="21"/>
              </w:rPr>
              <w:t>合规义务、法律法规及其他要求</w:t>
            </w:r>
          </w:p>
        </w:tc>
        <w:tc>
          <w:tcPr>
            <w:tcW w:w="960" w:type="dxa"/>
            <w:vAlign w:val="center"/>
          </w:tcPr>
          <w:p>
            <w:pPr>
              <w:rPr>
                <w:szCs w:val="21"/>
              </w:rPr>
            </w:pPr>
            <w:r>
              <w:rPr>
                <w:rFonts w:hint="eastAsia"/>
                <w:szCs w:val="21"/>
              </w:rPr>
              <w:t>O6.1.3</w:t>
            </w:r>
          </w:p>
          <w:p/>
        </w:tc>
        <w:tc>
          <w:tcPr>
            <w:tcW w:w="10694" w:type="dxa"/>
            <w:vAlign w:val="center"/>
          </w:tcPr>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根据《</w:t>
            </w:r>
            <w:r>
              <w:rPr>
                <w:rFonts w:asciiTheme="minorEastAsia" w:hAnsiTheme="minorEastAsia" w:eastAsiaTheme="minorEastAsia"/>
                <w:szCs w:val="21"/>
              </w:rPr>
              <w:t>法律法规和其它要求控制程序</w:t>
            </w:r>
            <w:r>
              <w:rPr>
                <w:rFonts w:hint="eastAsia" w:asciiTheme="minorEastAsia" w:hAnsiTheme="minorEastAsia" w:eastAsiaTheme="minorEastAsia"/>
                <w:szCs w:val="21"/>
              </w:rPr>
              <w:t>》要求，随时对法律法规的更新进行跟踪，并进行补充。于20</w:t>
            </w:r>
            <w:r>
              <w:rPr>
                <w:rFonts w:asciiTheme="minorEastAsia" w:hAnsiTheme="minorEastAsia" w:eastAsiaTheme="minorEastAsia"/>
                <w:szCs w:val="21"/>
              </w:rPr>
              <w:t>20</w:t>
            </w:r>
            <w:r>
              <w:rPr>
                <w:rFonts w:hint="eastAsia" w:asciiTheme="minorEastAsia" w:hAnsiTheme="minorEastAsia" w:eastAsiaTheme="minorEastAsia"/>
                <w:szCs w:val="21"/>
              </w:rPr>
              <w:t>年</w:t>
            </w:r>
            <w:r>
              <w:rPr>
                <w:rFonts w:asciiTheme="minorEastAsia" w:hAnsiTheme="minorEastAsia" w:eastAsiaTheme="minorEastAsia"/>
                <w:szCs w:val="21"/>
              </w:rPr>
              <w:t>1</w:t>
            </w:r>
            <w:r>
              <w:rPr>
                <w:rFonts w:hint="eastAsia" w:asciiTheme="minorEastAsia" w:hAnsiTheme="minorEastAsia" w:eastAsiaTheme="minorEastAsia"/>
                <w:szCs w:val="21"/>
              </w:rPr>
              <w:t>月</w:t>
            </w:r>
            <w:r>
              <w:rPr>
                <w:rFonts w:asciiTheme="minorEastAsia" w:hAnsiTheme="minorEastAsia" w:eastAsiaTheme="minorEastAsia"/>
                <w:szCs w:val="21"/>
              </w:rPr>
              <w:t>1</w:t>
            </w:r>
            <w:r>
              <w:rPr>
                <w:rFonts w:hint="eastAsia" w:asciiTheme="minorEastAsia" w:hAnsiTheme="minorEastAsia" w:eastAsiaTheme="minorEastAsia"/>
                <w:szCs w:val="21"/>
              </w:rPr>
              <w:t>2日识别了法律法规清单。获取渠道为网上下载。</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提供《法律法规和其他要求清单》收集的环境和安全法律法规。</w:t>
            </w:r>
          </w:p>
          <w:p>
            <w:pPr>
              <w:rPr>
                <w:rFonts w:ascii="宋体" w:hAnsi="宋体" w:cs="宋体"/>
                <w:sz w:val="24"/>
              </w:rPr>
            </w:pPr>
            <w:r>
              <w:rPr>
                <w:rFonts w:hint="eastAsia" w:asciiTheme="minorEastAsia" w:hAnsiTheme="minorEastAsia" w:eastAsiaTheme="minorEastAsia"/>
                <w:szCs w:val="21"/>
              </w:rPr>
              <w:t>环境和职业健康安全法律法规清单包括国家和河北的法律法规，共30条，对是否适用进行了评价。办公室组织进行了合规性的评价，评价时间为2020年1月15日。</w:t>
            </w:r>
          </w:p>
          <w:p>
            <w:pPr>
              <w:ind w:firstLine="420" w:firstLineChars="200"/>
            </w:pPr>
            <w:r>
              <w:rPr>
                <w:rFonts w:hint="eastAsia" w:asciiTheme="minorEastAsia" w:hAnsiTheme="minorEastAsia" w:eastAsiaTheme="minorEastAsia"/>
                <w:szCs w:val="21"/>
              </w:rPr>
              <w:t>办公室提供了合规性评价报告，评价结论为</w:t>
            </w:r>
            <w:r>
              <w:rPr>
                <w:rFonts w:ascii="宋体" w:hAnsi="宋体"/>
                <w:szCs w:val="21"/>
              </w:rPr>
              <w:t>本公司主要环境因素噪声、固废排放，能源资源消耗、</w:t>
            </w:r>
            <w:r>
              <w:rPr>
                <w:rFonts w:hint="eastAsia" w:ascii="宋体" w:hAnsi="宋体"/>
                <w:szCs w:val="21"/>
              </w:rPr>
              <w:t>煤气发生炉</w:t>
            </w:r>
            <w:r>
              <w:rPr>
                <w:rFonts w:ascii="宋体" w:hAnsi="宋体"/>
                <w:szCs w:val="21"/>
              </w:rPr>
              <w:t>烟尘排放等根据公司日常检查结果，对照法律法规、排放标准、河北省及公司的有关废弃物排放标准要求，公司的噪声和危险废弃物、固体废弃物、取暖炉烟尘达标的排放、没有火灾发生，无相关方投诉，总上所述：公司的所有活动遵守了国家、地方和企业的法律法规及其他要求，无违规行为。</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2160" w:type="dxa"/>
            <w:vAlign w:val="center"/>
          </w:tcPr>
          <w:p>
            <w:r>
              <w:rPr>
                <w:rFonts w:hint="eastAsia"/>
                <w:szCs w:val="21"/>
              </w:rPr>
              <w:t>人员、能力、培训</w:t>
            </w:r>
          </w:p>
        </w:tc>
        <w:tc>
          <w:tcPr>
            <w:tcW w:w="960" w:type="dxa"/>
            <w:vAlign w:val="center"/>
          </w:tcPr>
          <w:p>
            <w:pPr>
              <w:rPr>
                <w:szCs w:val="21"/>
              </w:rPr>
            </w:pPr>
            <w:r>
              <w:rPr>
                <w:rFonts w:hint="eastAsia"/>
                <w:szCs w:val="21"/>
              </w:rPr>
              <w:t>Q7.1.2</w:t>
            </w:r>
          </w:p>
          <w:p>
            <w:pPr>
              <w:rPr>
                <w:szCs w:val="21"/>
              </w:rPr>
            </w:pPr>
            <w:r>
              <w:rPr>
                <w:rFonts w:hint="eastAsia"/>
                <w:szCs w:val="21"/>
              </w:rPr>
              <w:t>O7.2</w:t>
            </w:r>
          </w:p>
          <w:p>
            <w:pPr>
              <w:pStyle w:val="12"/>
            </w:pPr>
          </w:p>
        </w:tc>
        <w:tc>
          <w:tcPr>
            <w:tcW w:w="10694" w:type="dxa"/>
            <w:vAlign w:val="center"/>
          </w:tcPr>
          <w:p>
            <w:pPr>
              <w:pStyle w:val="6"/>
              <w:widowControl/>
              <w:ind w:firstLine="420" w:firstLineChars="200"/>
              <w:rPr>
                <w:rFonts w:ascii="Times New Roman" w:hAnsi="Times New Roman"/>
                <w:sz w:val="21"/>
                <w:szCs w:val="21"/>
              </w:rPr>
            </w:pPr>
          </w:p>
          <w:p>
            <w:pPr>
              <w:pStyle w:val="6"/>
              <w:widowControl/>
              <w:ind w:firstLine="420" w:firstLineChars="200"/>
              <w:rPr>
                <w:rFonts w:ascii="Times New Roman" w:hAnsi="Times New Roman"/>
                <w:sz w:val="21"/>
                <w:szCs w:val="21"/>
              </w:rPr>
            </w:pPr>
            <w:r>
              <w:rPr>
                <w:rFonts w:hint="eastAsia" w:ascii="Times New Roman" w:hAnsi="Times New Roman"/>
                <w:sz w:val="21"/>
                <w:szCs w:val="21"/>
              </w:rPr>
              <w:t>编制HBHP-B0</w:t>
            </w:r>
            <w:r>
              <w:rPr>
                <w:rFonts w:ascii="Times New Roman" w:hAnsi="Times New Roman"/>
                <w:sz w:val="21"/>
                <w:szCs w:val="21"/>
              </w:rPr>
              <w:t>3</w:t>
            </w:r>
            <w:r>
              <w:rPr>
                <w:rFonts w:hint="eastAsia" w:ascii="Times New Roman" w:hAnsi="Times New Roman"/>
                <w:sz w:val="21"/>
                <w:szCs w:val="21"/>
              </w:rPr>
              <w:t>-2020《人力资源控制程序》，规定了控制要求。对企业的人力资源的培养和发展等作出规定，招聘、培训、试用与转正等人力资源作出了规划。</w:t>
            </w:r>
          </w:p>
          <w:p>
            <w:pPr>
              <w:pStyle w:val="6"/>
              <w:widowControl/>
              <w:ind w:firstLine="420" w:firstLineChars="200"/>
              <w:rPr>
                <w:rFonts w:hint="eastAsia" w:ascii="Times New Roman" w:hAnsi="Times New Roman"/>
                <w:sz w:val="21"/>
                <w:szCs w:val="21"/>
              </w:rPr>
            </w:pPr>
            <w:r>
              <w:rPr>
                <w:rFonts w:hint="eastAsia" w:ascii="Times New Roman" w:hAnsi="Times New Roman"/>
                <w:sz w:val="21"/>
                <w:szCs w:val="21"/>
              </w:rPr>
              <w:t>企业提供了《岗位资格任职要求》，对各岗位的任职条件做了规定。</w:t>
            </w:r>
          </w:p>
          <w:p>
            <w:pPr>
              <w:pStyle w:val="6"/>
              <w:widowControl/>
              <w:ind w:firstLine="420" w:firstLineChars="200"/>
              <w:rPr>
                <w:rFonts w:ascii="Times New Roman" w:hAnsi="Times New Roman"/>
                <w:sz w:val="21"/>
                <w:szCs w:val="21"/>
              </w:rPr>
            </w:pPr>
            <w:r>
              <w:rPr>
                <w:rFonts w:hint="eastAsia"/>
                <w:sz w:val="21"/>
              </w:rPr>
              <w:t>办公室主任的任职资格为：</w:t>
            </w:r>
            <w:r>
              <w:rPr>
                <w:rFonts w:hint="eastAsia"/>
              </w:rPr>
              <w:t>大专以上学历，具有相关专业背景，熟悉企业管理及办公室工作，从事本行业3年以上，具有较强的组织领导能力。</w:t>
            </w:r>
          </w:p>
          <w:p>
            <w:pPr>
              <w:pStyle w:val="6"/>
              <w:widowControl/>
              <w:ind w:firstLine="420" w:firstLineChars="200"/>
              <w:rPr>
                <w:rFonts w:ascii="Times New Roman" w:hAnsi="Times New Roman"/>
                <w:sz w:val="21"/>
                <w:szCs w:val="21"/>
              </w:rPr>
            </w:pPr>
            <w:r>
              <w:rPr>
                <w:rFonts w:hint="eastAsia" w:ascii="Times New Roman" w:hAnsi="Times New Roman"/>
                <w:sz w:val="21"/>
                <w:szCs w:val="21"/>
              </w:rPr>
              <w:t>根据企业发展规划、现状及各部门意见，人力资源部制定年度培训计划，提供《</w:t>
            </w:r>
            <w:r>
              <w:rPr>
                <w:rFonts w:ascii="Times New Roman" w:hAnsi="Times New Roman"/>
                <w:sz w:val="21"/>
                <w:szCs w:val="21"/>
              </w:rPr>
              <w:t>2020</w:t>
            </w:r>
            <w:r>
              <w:rPr>
                <w:rFonts w:hint="eastAsia" w:ascii="Times New Roman" w:hAnsi="Times New Roman"/>
                <w:sz w:val="21"/>
                <w:szCs w:val="21"/>
              </w:rPr>
              <w:t>年培训计划》，</w:t>
            </w:r>
          </w:p>
          <w:tbl>
            <w:tblPr>
              <w:tblStyle w:val="10"/>
              <w:tblW w:w="0" w:type="auto"/>
              <w:tblInd w:w="0" w:type="dxa"/>
              <w:tblLayout w:type="fixed"/>
              <w:tblCellMar>
                <w:top w:w="0" w:type="dxa"/>
                <w:left w:w="108" w:type="dxa"/>
                <w:bottom w:w="0" w:type="dxa"/>
                <w:right w:w="108" w:type="dxa"/>
              </w:tblCellMar>
            </w:tblPr>
            <w:tblGrid>
              <w:gridCol w:w="1079"/>
              <w:gridCol w:w="1941"/>
              <w:gridCol w:w="1838"/>
              <w:gridCol w:w="2467"/>
              <w:gridCol w:w="1214"/>
              <w:gridCol w:w="1381"/>
            </w:tblGrid>
            <w:tr>
              <w:tblPrEx>
                <w:tblCellMar>
                  <w:top w:w="0" w:type="dxa"/>
                  <w:left w:w="108" w:type="dxa"/>
                  <w:bottom w:w="0" w:type="dxa"/>
                  <w:right w:w="108" w:type="dxa"/>
                </w:tblCellMar>
              </w:tblPrEx>
              <w:trPr>
                <w:trHeight w:val="332" w:hRule="atLeast"/>
              </w:trPr>
              <w:tc>
                <w:tcPr>
                  <w:tcW w:w="1079" w:type="dxa"/>
                  <w:vAlign w:val="center"/>
                </w:tcPr>
                <w:p>
                  <w:pPr>
                    <w:jc w:val="center"/>
                    <w:rPr>
                      <w:rFonts w:hint="eastAsia"/>
                      <w:sz w:val="18"/>
                      <w:szCs w:val="18"/>
                    </w:rPr>
                  </w:pPr>
                  <w:r>
                    <w:rPr>
                      <w:rFonts w:hint="eastAsia"/>
                      <w:sz w:val="18"/>
                      <w:szCs w:val="18"/>
                    </w:rPr>
                    <w:t>序号</w:t>
                  </w:r>
                </w:p>
              </w:tc>
              <w:tc>
                <w:tcPr>
                  <w:tcW w:w="1941" w:type="dxa"/>
                  <w:vAlign w:val="center"/>
                </w:tcPr>
                <w:p>
                  <w:pPr>
                    <w:jc w:val="center"/>
                    <w:rPr>
                      <w:rFonts w:hint="eastAsia"/>
                      <w:sz w:val="18"/>
                      <w:szCs w:val="18"/>
                    </w:rPr>
                  </w:pPr>
                  <w:r>
                    <w:rPr>
                      <w:rFonts w:hint="eastAsia"/>
                      <w:sz w:val="18"/>
                      <w:szCs w:val="18"/>
                    </w:rPr>
                    <w:t>培训对象</w:t>
                  </w:r>
                </w:p>
              </w:tc>
              <w:tc>
                <w:tcPr>
                  <w:tcW w:w="1838" w:type="dxa"/>
                  <w:vAlign w:val="center"/>
                </w:tcPr>
                <w:p>
                  <w:pPr>
                    <w:jc w:val="center"/>
                    <w:rPr>
                      <w:rFonts w:hint="eastAsia"/>
                      <w:sz w:val="18"/>
                      <w:szCs w:val="18"/>
                    </w:rPr>
                  </w:pPr>
                  <w:r>
                    <w:rPr>
                      <w:rFonts w:hint="eastAsia"/>
                      <w:sz w:val="18"/>
                      <w:szCs w:val="18"/>
                    </w:rPr>
                    <w:t>培训日期</w:t>
                  </w:r>
                </w:p>
              </w:tc>
              <w:tc>
                <w:tcPr>
                  <w:tcW w:w="2467" w:type="dxa"/>
                  <w:vAlign w:val="center"/>
                </w:tcPr>
                <w:p>
                  <w:pPr>
                    <w:jc w:val="center"/>
                    <w:rPr>
                      <w:rFonts w:hint="eastAsia"/>
                      <w:sz w:val="18"/>
                      <w:szCs w:val="18"/>
                    </w:rPr>
                  </w:pPr>
                  <w:r>
                    <w:rPr>
                      <w:rFonts w:hint="eastAsia"/>
                      <w:sz w:val="18"/>
                      <w:szCs w:val="18"/>
                    </w:rPr>
                    <w:t>培训内容</w:t>
                  </w:r>
                </w:p>
              </w:tc>
              <w:tc>
                <w:tcPr>
                  <w:tcW w:w="1214" w:type="dxa"/>
                  <w:vAlign w:val="center"/>
                </w:tcPr>
                <w:p>
                  <w:pPr>
                    <w:jc w:val="center"/>
                    <w:rPr>
                      <w:rFonts w:hint="eastAsia"/>
                      <w:sz w:val="18"/>
                      <w:szCs w:val="18"/>
                    </w:rPr>
                  </w:pPr>
                  <w:r>
                    <w:rPr>
                      <w:rFonts w:hint="eastAsia"/>
                      <w:sz w:val="18"/>
                      <w:szCs w:val="18"/>
                    </w:rPr>
                    <w:t>培训</w:t>
                  </w:r>
                </w:p>
                <w:p>
                  <w:pPr>
                    <w:jc w:val="center"/>
                    <w:rPr>
                      <w:rFonts w:hint="eastAsia"/>
                      <w:sz w:val="18"/>
                      <w:szCs w:val="18"/>
                    </w:rPr>
                  </w:pPr>
                  <w:r>
                    <w:rPr>
                      <w:rFonts w:hint="eastAsia"/>
                      <w:sz w:val="18"/>
                      <w:szCs w:val="18"/>
                    </w:rPr>
                    <w:t>方式</w:t>
                  </w:r>
                </w:p>
              </w:tc>
              <w:tc>
                <w:tcPr>
                  <w:tcW w:w="1381" w:type="dxa"/>
                  <w:vAlign w:val="center"/>
                </w:tcPr>
                <w:p>
                  <w:pPr>
                    <w:jc w:val="center"/>
                    <w:rPr>
                      <w:rFonts w:hint="eastAsia"/>
                      <w:sz w:val="18"/>
                      <w:szCs w:val="18"/>
                    </w:rPr>
                  </w:pPr>
                  <w:r>
                    <w:rPr>
                      <w:rFonts w:hint="eastAsia"/>
                      <w:sz w:val="18"/>
                      <w:szCs w:val="18"/>
                    </w:rPr>
                    <w:t>培训</w:t>
                  </w:r>
                </w:p>
                <w:p>
                  <w:pPr>
                    <w:jc w:val="center"/>
                    <w:rPr>
                      <w:rFonts w:hint="eastAsia"/>
                      <w:sz w:val="18"/>
                      <w:szCs w:val="18"/>
                    </w:rPr>
                  </w:pPr>
                  <w:r>
                    <w:rPr>
                      <w:rFonts w:hint="eastAsia"/>
                      <w:sz w:val="18"/>
                      <w:szCs w:val="18"/>
                    </w:rPr>
                    <w:t>地点</w:t>
                  </w:r>
                </w:p>
              </w:tc>
            </w:tr>
            <w:tr>
              <w:tblPrEx>
                <w:tblCellMar>
                  <w:top w:w="0" w:type="dxa"/>
                  <w:left w:w="108" w:type="dxa"/>
                  <w:bottom w:w="0" w:type="dxa"/>
                  <w:right w:w="108" w:type="dxa"/>
                </w:tblCellMar>
              </w:tblPrEx>
              <w:trPr>
                <w:trHeight w:val="631" w:hRule="atLeast"/>
              </w:trPr>
              <w:tc>
                <w:tcPr>
                  <w:tcW w:w="1079" w:type="dxa"/>
                  <w:vAlign w:val="center"/>
                </w:tcPr>
                <w:p>
                  <w:pPr>
                    <w:jc w:val="center"/>
                    <w:rPr>
                      <w:rFonts w:hint="eastAsia"/>
                      <w:sz w:val="18"/>
                      <w:szCs w:val="18"/>
                    </w:rPr>
                  </w:pPr>
                  <w:r>
                    <w:rPr>
                      <w:rFonts w:hint="eastAsia"/>
                      <w:sz w:val="18"/>
                      <w:szCs w:val="18"/>
                    </w:rPr>
                    <w:t>1</w:t>
                  </w:r>
                </w:p>
              </w:tc>
              <w:tc>
                <w:tcPr>
                  <w:tcW w:w="1941" w:type="dxa"/>
                  <w:vAlign w:val="center"/>
                </w:tcPr>
                <w:p>
                  <w:pPr>
                    <w:jc w:val="center"/>
                    <w:rPr>
                      <w:rFonts w:hint="eastAsia"/>
                      <w:sz w:val="18"/>
                      <w:szCs w:val="18"/>
                    </w:rPr>
                  </w:pPr>
                  <w:r>
                    <w:rPr>
                      <w:rFonts w:hint="eastAsia"/>
                      <w:sz w:val="18"/>
                      <w:szCs w:val="18"/>
                    </w:rPr>
                    <w:t>全体员工</w:t>
                  </w:r>
                </w:p>
              </w:tc>
              <w:tc>
                <w:tcPr>
                  <w:tcW w:w="1838" w:type="dxa"/>
                  <w:vAlign w:val="center"/>
                </w:tcPr>
                <w:p>
                  <w:pPr>
                    <w:jc w:val="center"/>
                    <w:rPr>
                      <w:rFonts w:hint="eastAsia"/>
                      <w:sz w:val="18"/>
                      <w:szCs w:val="18"/>
                    </w:rPr>
                  </w:pPr>
                  <w:r>
                    <w:rPr>
                      <w:rFonts w:hint="eastAsia"/>
                      <w:sz w:val="18"/>
                      <w:szCs w:val="18"/>
                    </w:rPr>
                    <w:t>2020年1月</w:t>
                  </w:r>
                </w:p>
              </w:tc>
              <w:tc>
                <w:tcPr>
                  <w:tcW w:w="2467" w:type="dxa"/>
                  <w:vAlign w:val="center"/>
                </w:tcPr>
                <w:p>
                  <w:pPr>
                    <w:rPr>
                      <w:rFonts w:hint="eastAsia"/>
                      <w:sz w:val="18"/>
                      <w:szCs w:val="18"/>
                    </w:rPr>
                  </w:pPr>
                  <w:r>
                    <w:rPr>
                      <w:rFonts w:hint="eastAsia"/>
                      <w:sz w:val="18"/>
                      <w:szCs w:val="18"/>
                    </w:rPr>
                    <w:t>14001标准</w:t>
                  </w:r>
                </w:p>
                <w:p>
                  <w:pPr>
                    <w:rPr>
                      <w:rFonts w:hint="eastAsia"/>
                      <w:sz w:val="18"/>
                      <w:szCs w:val="18"/>
                    </w:rPr>
                  </w:pPr>
                  <w:r>
                    <w:rPr>
                      <w:rFonts w:hint="eastAsia"/>
                      <w:sz w:val="18"/>
                      <w:szCs w:val="18"/>
                    </w:rPr>
                    <w:t>19001标准</w:t>
                  </w:r>
                </w:p>
              </w:tc>
              <w:tc>
                <w:tcPr>
                  <w:tcW w:w="1214" w:type="dxa"/>
                  <w:vAlign w:val="center"/>
                </w:tcPr>
                <w:p>
                  <w:pPr>
                    <w:jc w:val="center"/>
                    <w:rPr>
                      <w:rFonts w:hint="eastAsia"/>
                      <w:sz w:val="18"/>
                      <w:szCs w:val="18"/>
                    </w:rPr>
                  </w:pPr>
                  <w:r>
                    <w:rPr>
                      <w:rFonts w:hint="eastAsia"/>
                      <w:sz w:val="18"/>
                      <w:szCs w:val="18"/>
                    </w:rPr>
                    <w:t>讲课</w:t>
                  </w:r>
                </w:p>
              </w:tc>
              <w:tc>
                <w:tcPr>
                  <w:tcW w:w="1381" w:type="dxa"/>
                  <w:vAlign w:val="center"/>
                </w:tcPr>
                <w:p>
                  <w:pPr>
                    <w:jc w:val="center"/>
                    <w:rPr>
                      <w:rFonts w:hint="eastAsia"/>
                      <w:sz w:val="18"/>
                      <w:szCs w:val="18"/>
                    </w:rPr>
                  </w:pPr>
                  <w:r>
                    <w:rPr>
                      <w:rFonts w:hint="eastAsia"/>
                      <w:sz w:val="18"/>
                      <w:szCs w:val="18"/>
                    </w:rPr>
                    <w:t>会议室</w:t>
                  </w:r>
                </w:p>
              </w:tc>
            </w:tr>
            <w:tr>
              <w:tblPrEx>
                <w:tblCellMar>
                  <w:top w:w="0" w:type="dxa"/>
                  <w:left w:w="108" w:type="dxa"/>
                  <w:bottom w:w="0" w:type="dxa"/>
                  <w:right w:w="108" w:type="dxa"/>
                </w:tblCellMar>
              </w:tblPrEx>
              <w:trPr>
                <w:trHeight w:val="631" w:hRule="atLeast"/>
              </w:trPr>
              <w:tc>
                <w:tcPr>
                  <w:tcW w:w="1079" w:type="dxa"/>
                  <w:vAlign w:val="center"/>
                </w:tcPr>
                <w:p>
                  <w:pPr>
                    <w:jc w:val="center"/>
                    <w:rPr>
                      <w:rFonts w:hint="eastAsia"/>
                      <w:sz w:val="18"/>
                      <w:szCs w:val="18"/>
                    </w:rPr>
                  </w:pPr>
                  <w:r>
                    <w:rPr>
                      <w:rFonts w:hint="eastAsia"/>
                      <w:sz w:val="18"/>
                      <w:szCs w:val="18"/>
                    </w:rPr>
                    <w:t>2</w:t>
                  </w:r>
                </w:p>
              </w:tc>
              <w:tc>
                <w:tcPr>
                  <w:tcW w:w="1941" w:type="dxa"/>
                  <w:vAlign w:val="center"/>
                </w:tcPr>
                <w:p>
                  <w:pPr>
                    <w:jc w:val="center"/>
                    <w:rPr>
                      <w:rFonts w:hint="eastAsia"/>
                      <w:sz w:val="18"/>
                      <w:szCs w:val="18"/>
                    </w:rPr>
                  </w:pPr>
                  <w:r>
                    <w:rPr>
                      <w:rFonts w:hint="eastAsia"/>
                      <w:sz w:val="18"/>
                      <w:szCs w:val="18"/>
                    </w:rPr>
                    <w:t>全体员工</w:t>
                  </w:r>
                </w:p>
              </w:tc>
              <w:tc>
                <w:tcPr>
                  <w:tcW w:w="1838" w:type="dxa"/>
                  <w:vAlign w:val="center"/>
                </w:tcPr>
                <w:p>
                  <w:pPr>
                    <w:jc w:val="center"/>
                    <w:rPr>
                      <w:rFonts w:hint="eastAsia"/>
                      <w:sz w:val="18"/>
                      <w:szCs w:val="18"/>
                    </w:rPr>
                  </w:pPr>
                  <w:r>
                    <w:rPr>
                      <w:rFonts w:hint="eastAsia"/>
                      <w:sz w:val="18"/>
                      <w:szCs w:val="18"/>
                    </w:rPr>
                    <w:t>2020年2月</w:t>
                  </w:r>
                </w:p>
              </w:tc>
              <w:tc>
                <w:tcPr>
                  <w:tcW w:w="2467" w:type="dxa"/>
                  <w:vAlign w:val="center"/>
                </w:tcPr>
                <w:p>
                  <w:pPr>
                    <w:rPr>
                      <w:rFonts w:hint="eastAsia"/>
                      <w:sz w:val="18"/>
                      <w:szCs w:val="18"/>
                    </w:rPr>
                  </w:pPr>
                  <w:r>
                    <w:rPr>
                      <w:rFonts w:hint="eastAsia"/>
                      <w:sz w:val="18"/>
                      <w:szCs w:val="18"/>
                    </w:rPr>
                    <w:t>本公司管理体系文件、环境职业健康安全法律法规</w:t>
                  </w:r>
                </w:p>
              </w:tc>
              <w:tc>
                <w:tcPr>
                  <w:tcW w:w="1214" w:type="dxa"/>
                  <w:vAlign w:val="center"/>
                </w:tcPr>
                <w:p>
                  <w:pPr>
                    <w:jc w:val="center"/>
                    <w:rPr>
                      <w:rFonts w:hint="eastAsia"/>
                      <w:sz w:val="18"/>
                      <w:szCs w:val="18"/>
                    </w:rPr>
                  </w:pPr>
                  <w:r>
                    <w:rPr>
                      <w:rFonts w:hint="eastAsia"/>
                      <w:sz w:val="18"/>
                      <w:szCs w:val="18"/>
                    </w:rPr>
                    <w:t>讲课</w:t>
                  </w:r>
                </w:p>
              </w:tc>
              <w:tc>
                <w:tcPr>
                  <w:tcW w:w="1381" w:type="dxa"/>
                  <w:vAlign w:val="center"/>
                </w:tcPr>
                <w:p>
                  <w:pPr>
                    <w:jc w:val="center"/>
                    <w:rPr>
                      <w:rFonts w:hint="eastAsia"/>
                      <w:sz w:val="18"/>
                      <w:szCs w:val="18"/>
                    </w:rPr>
                  </w:pPr>
                  <w:r>
                    <w:rPr>
                      <w:rFonts w:hint="eastAsia"/>
                      <w:sz w:val="18"/>
                      <w:szCs w:val="18"/>
                    </w:rPr>
                    <w:t>会议室</w:t>
                  </w:r>
                </w:p>
              </w:tc>
            </w:tr>
            <w:tr>
              <w:tblPrEx>
                <w:tblCellMar>
                  <w:top w:w="0" w:type="dxa"/>
                  <w:left w:w="108" w:type="dxa"/>
                  <w:bottom w:w="0" w:type="dxa"/>
                  <w:right w:w="108" w:type="dxa"/>
                </w:tblCellMar>
              </w:tblPrEx>
              <w:trPr>
                <w:trHeight w:val="631" w:hRule="atLeast"/>
              </w:trPr>
              <w:tc>
                <w:tcPr>
                  <w:tcW w:w="1079" w:type="dxa"/>
                  <w:vAlign w:val="center"/>
                </w:tcPr>
                <w:p>
                  <w:pPr>
                    <w:jc w:val="center"/>
                    <w:rPr>
                      <w:rFonts w:hint="eastAsia"/>
                      <w:sz w:val="18"/>
                      <w:szCs w:val="18"/>
                    </w:rPr>
                  </w:pPr>
                  <w:r>
                    <w:rPr>
                      <w:rFonts w:hint="eastAsia"/>
                      <w:sz w:val="18"/>
                      <w:szCs w:val="18"/>
                    </w:rPr>
                    <w:t>3</w:t>
                  </w:r>
                </w:p>
              </w:tc>
              <w:tc>
                <w:tcPr>
                  <w:tcW w:w="1941" w:type="dxa"/>
                  <w:vAlign w:val="center"/>
                </w:tcPr>
                <w:p>
                  <w:pPr>
                    <w:jc w:val="center"/>
                    <w:rPr>
                      <w:rFonts w:hint="eastAsia"/>
                      <w:sz w:val="18"/>
                      <w:szCs w:val="18"/>
                    </w:rPr>
                  </w:pPr>
                  <w:r>
                    <w:rPr>
                      <w:rFonts w:hint="eastAsia"/>
                      <w:sz w:val="18"/>
                      <w:szCs w:val="18"/>
                    </w:rPr>
                    <w:t>内审员培训</w:t>
                  </w:r>
                </w:p>
              </w:tc>
              <w:tc>
                <w:tcPr>
                  <w:tcW w:w="1838" w:type="dxa"/>
                  <w:vAlign w:val="center"/>
                </w:tcPr>
                <w:p>
                  <w:pPr>
                    <w:jc w:val="center"/>
                    <w:rPr>
                      <w:rFonts w:hint="eastAsia"/>
                      <w:sz w:val="18"/>
                      <w:szCs w:val="18"/>
                    </w:rPr>
                  </w:pPr>
                  <w:r>
                    <w:rPr>
                      <w:rFonts w:hint="eastAsia"/>
                      <w:sz w:val="18"/>
                      <w:szCs w:val="18"/>
                    </w:rPr>
                    <w:t>2020年3月</w:t>
                  </w:r>
                </w:p>
              </w:tc>
              <w:tc>
                <w:tcPr>
                  <w:tcW w:w="2467" w:type="dxa"/>
                  <w:vAlign w:val="center"/>
                </w:tcPr>
                <w:p>
                  <w:pPr>
                    <w:rPr>
                      <w:rFonts w:hint="eastAsia"/>
                      <w:sz w:val="18"/>
                      <w:szCs w:val="18"/>
                    </w:rPr>
                  </w:pPr>
                  <w:r>
                    <w:rPr>
                      <w:rFonts w:hint="eastAsia"/>
                      <w:sz w:val="18"/>
                      <w:szCs w:val="18"/>
                    </w:rPr>
                    <w:t>14001标准</w:t>
                  </w:r>
                </w:p>
                <w:p>
                  <w:pPr>
                    <w:rPr>
                      <w:rFonts w:hint="eastAsia"/>
                      <w:sz w:val="18"/>
                      <w:szCs w:val="18"/>
                    </w:rPr>
                  </w:pPr>
                  <w:r>
                    <w:rPr>
                      <w:rFonts w:hint="eastAsia"/>
                      <w:sz w:val="18"/>
                      <w:szCs w:val="18"/>
                    </w:rPr>
                    <w:t>45001标准</w:t>
                  </w:r>
                </w:p>
                <w:p>
                  <w:pPr>
                    <w:rPr>
                      <w:rFonts w:hint="eastAsia"/>
                      <w:sz w:val="18"/>
                      <w:szCs w:val="18"/>
                    </w:rPr>
                  </w:pPr>
                  <w:r>
                    <w:rPr>
                      <w:rFonts w:hint="eastAsia"/>
                      <w:sz w:val="18"/>
                      <w:szCs w:val="18"/>
                    </w:rPr>
                    <w:t>体系审核知识</w:t>
                  </w:r>
                </w:p>
              </w:tc>
              <w:tc>
                <w:tcPr>
                  <w:tcW w:w="1214" w:type="dxa"/>
                  <w:vAlign w:val="center"/>
                </w:tcPr>
                <w:p>
                  <w:pPr>
                    <w:jc w:val="center"/>
                    <w:rPr>
                      <w:rFonts w:hint="eastAsia"/>
                      <w:sz w:val="18"/>
                      <w:szCs w:val="18"/>
                    </w:rPr>
                  </w:pPr>
                  <w:r>
                    <w:rPr>
                      <w:rFonts w:hint="eastAsia"/>
                      <w:sz w:val="18"/>
                      <w:szCs w:val="18"/>
                    </w:rPr>
                    <w:t>讲课</w:t>
                  </w:r>
                </w:p>
              </w:tc>
              <w:tc>
                <w:tcPr>
                  <w:tcW w:w="1381" w:type="dxa"/>
                  <w:vAlign w:val="center"/>
                </w:tcPr>
                <w:p>
                  <w:pPr>
                    <w:jc w:val="center"/>
                    <w:rPr>
                      <w:rFonts w:hint="eastAsia"/>
                      <w:sz w:val="18"/>
                      <w:szCs w:val="18"/>
                    </w:rPr>
                  </w:pPr>
                  <w:r>
                    <w:rPr>
                      <w:rFonts w:hint="eastAsia"/>
                      <w:sz w:val="18"/>
                      <w:szCs w:val="18"/>
                    </w:rPr>
                    <w:t>会议室</w:t>
                  </w:r>
                </w:p>
              </w:tc>
            </w:tr>
            <w:tr>
              <w:tblPrEx>
                <w:tblCellMar>
                  <w:top w:w="0" w:type="dxa"/>
                  <w:left w:w="108" w:type="dxa"/>
                  <w:bottom w:w="0" w:type="dxa"/>
                  <w:right w:w="108" w:type="dxa"/>
                </w:tblCellMar>
              </w:tblPrEx>
              <w:trPr>
                <w:trHeight w:val="631" w:hRule="atLeast"/>
              </w:trPr>
              <w:tc>
                <w:tcPr>
                  <w:tcW w:w="1079" w:type="dxa"/>
                  <w:vAlign w:val="center"/>
                </w:tcPr>
                <w:p>
                  <w:pPr>
                    <w:jc w:val="center"/>
                    <w:rPr>
                      <w:rFonts w:hint="eastAsia"/>
                      <w:sz w:val="18"/>
                      <w:szCs w:val="18"/>
                    </w:rPr>
                  </w:pPr>
                  <w:r>
                    <w:rPr>
                      <w:rFonts w:hint="eastAsia"/>
                      <w:sz w:val="18"/>
                      <w:szCs w:val="18"/>
                    </w:rPr>
                    <w:t>3</w:t>
                  </w:r>
                </w:p>
              </w:tc>
              <w:tc>
                <w:tcPr>
                  <w:tcW w:w="1941" w:type="dxa"/>
                  <w:vAlign w:val="center"/>
                </w:tcPr>
                <w:p>
                  <w:pPr>
                    <w:jc w:val="center"/>
                    <w:rPr>
                      <w:rFonts w:hint="eastAsia"/>
                      <w:sz w:val="18"/>
                      <w:szCs w:val="18"/>
                    </w:rPr>
                  </w:pPr>
                  <w:r>
                    <w:rPr>
                      <w:rFonts w:hint="eastAsia"/>
                      <w:sz w:val="18"/>
                      <w:szCs w:val="18"/>
                    </w:rPr>
                    <w:t>一线</w:t>
                  </w:r>
                </w:p>
                <w:p>
                  <w:pPr>
                    <w:jc w:val="center"/>
                    <w:rPr>
                      <w:rFonts w:hint="eastAsia"/>
                      <w:sz w:val="18"/>
                      <w:szCs w:val="18"/>
                    </w:rPr>
                  </w:pPr>
                  <w:r>
                    <w:rPr>
                      <w:rFonts w:hint="eastAsia"/>
                      <w:sz w:val="18"/>
                      <w:szCs w:val="18"/>
                    </w:rPr>
                    <w:t>生产员工</w:t>
                  </w:r>
                </w:p>
              </w:tc>
              <w:tc>
                <w:tcPr>
                  <w:tcW w:w="1838" w:type="dxa"/>
                  <w:vAlign w:val="center"/>
                </w:tcPr>
                <w:p>
                  <w:pPr>
                    <w:jc w:val="center"/>
                    <w:rPr>
                      <w:rFonts w:hint="eastAsia"/>
                      <w:sz w:val="18"/>
                      <w:szCs w:val="18"/>
                    </w:rPr>
                  </w:pPr>
                  <w:r>
                    <w:rPr>
                      <w:rFonts w:hint="eastAsia"/>
                      <w:sz w:val="18"/>
                      <w:szCs w:val="18"/>
                    </w:rPr>
                    <w:t>2020年4月</w:t>
                  </w:r>
                </w:p>
              </w:tc>
              <w:tc>
                <w:tcPr>
                  <w:tcW w:w="2467" w:type="dxa"/>
                  <w:vAlign w:val="center"/>
                </w:tcPr>
                <w:p>
                  <w:pPr>
                    <w:rPr>
                      <w:rFonts w:hint="eastAsia"/>
                      <w:sz w:val="18"/>
                      <w:szCs w:val="18"/>
                    </w:rPr>
                  </w:pPr>
                  <w:r>
                    <w:rPr>
                      <w:rFonts w:hint="eastAsia"/>
                      <w:sz w:val="18"/>
                      <w:szCs w:val="18"/>
                    </w:rPr>
                    <w:t>安全生产制度培训</w:t>
                  </w:r>
                </w:p>
              </w:tc>
              <w:tc>
                <w:tcPr>
                  <w:tcW w:w="1214" w:type="dxa"/>
                  <w:vAlign w:val="center"/>
                </w:tcPr>
                <w:p>
                  <w:pPr>
                    <w:jc w:val="center"/>
                    <w:rPr>
                      <w:rFonts w:hint="eastAsia"/>
                      <w:sz w:val="18"/>
                      <w:szCs w:val="18"/>
                    </w:rPr>
                  </w:pPr>
                  <w:r>
                    <w:rPr>
                      <w:rFonts w:hint="eastAsia"/>
                      <w:sz w:val="18"/>
                      <w:szCs w:val="18"/>
                    </w:rPr>
                    <w:t>讲课</w:t>
                  </w:r>
                </w:p>
              </w:tc>
              <w:tc>
                <w:tcPr>
                  <w:tcW w:w="1381" w:type="dxa"/>
                  <w:vAlign w:val="center"/>
                </w:tcPr>
                <w:p>
                  <w:pPr>
                    <w:jc w:val="center"/>
                    <w:rPr>
                      <w:rFonts w:hint="eastAsia"/>
                      <w:sz w:val="18"/>
                      <w:szCs w:val="18"/>
                    </w:rPr>
                  </w:pPr>
                  <w:r>
                    <w:rPr>
                      <w:rFonts w:hint="eastAsia"/>
                      <w:sz w:val="18"/>
                      <w:szCs w:val="18"/>
                    </w:rPr>
                    <w:t>现场</w:t>
                  </w:r>
                </w:p>
              </w:tc>
            </w:tr>
            <w:tr>
              <w:tblPrEx>
                <w:tblCellMar>
                  <w:top w:w="0" w:type="dxa"/>
                  <w:left w:w="108" w:type="dxa"/>
                  <w:bottom w:w="0" w:type="dxa"/>
                  <w:right w:w="108" w:type="dxa"/>
                </w:tblCellMar>
              </w:tblPrEx>
              <w:trPr>
                <w:trHeight w:val="631" w:hRule="atLeast"/>
              </w:trPr>
              <w:tc>
                <w:tcPr>
                  <w:tcW w:w="1079" w:type="dxa"/>
                  <w:vAlign w:val="center"/>
                </w:tcPr>
                <w:p>
                  <w:pPr>
                    <w:jc w:val="center"/>
                    <w:rPr>
                      <w:rFonts w:hint="eastAsia"/>
                      <w:sz w:val="18"/>
                      <w:szCs w:val="18"/>
                    </w:rPr>
                  </w:pPr>
                  <w:r>
                    <w:rPr>
                      <w:rFonts w:hint="eastAsia"/>
                      <w:sz w:val="18"/>
                      <w:szCs w:val="18"/>
                    </w:rPr>
                    <w:t>4</w:t>
                  </w:r>
                </w:p>
              </w:tc>
              <w:tc>
                <w:tcPr>
                  <w:tcW w:w="1941" w:type="dxa"/>
                  <w:vAlign w:val="center"/>
                </w:tcPr>
                <w:p>
                  <w:pPr>
                    <w:jc w:val="center"/>
                    <w:rPr>
                      <w:rFonts w:hint="eastAsia"/>
                      <w:sz w:val="18"/>
                      <w:szCs w:val="18"/>
                    </w:rPr>
                  </w:pPr>
                  <w:r>
                    <w:rPr>
                      <w:rFonts w:hint="eastAsia"/>
                      <w:sz w:val="18"/>
                      <w:szCs w:val="18"/>
                    </w:rPr>
                    <w:t>各部门</w:t>
                  </w:r>
                </w:p>
                <w:p>
                  <w:pPr>
                    <w:jc w:val="center"/>
                    <w:rPr>
                      <w:rFonts w:hint="eastAsia"/>
                      <w:sz w:val="18"/>
                      <w:szCs w:val="18"/>
                    </w:rPr>
                  </w:pPr>
                  <w:r>
                    <w:rPr>
                      <w:rFonts w:hint="eastAsia"/>
                      <w:sz w:val="18"/>
                      <w:szCs w:val="18"/>
                    </w:rPr>
                    <w:t>负责人</w:t>
                  </w:r>
                </w:p>
              </w:tc>
              <w:tc>
                <w:tcPr>
                  <w:tcW w:w="1838" w:type="dxa"/>
                  <w:vAlign w:val="center"/>
                </w:tcPr>
                <w:p>
                  <w:pPr>
                    <w:jc w:val="center"/>
                    <w:rPr>
                      <w:rFonts w:hint="eastAsia"/>
                      <w:sz w:val="18"/>
                      <w:szCs w:val="18"/>
                    </w:rPr>
                  </w:pPr>
                  <w:r>
                    <w:rPr>
                      <w:rFonts w:hint="eastAsia"/>
                      <w:sz w:val="18"/>
                      <w:szCs w:val="18"/>
                    </w:rPr>
                    <w:t>2020年5月</w:t>
                  </w:r>
                </w:p>
              </w:tc>
              <w:tc>
                <w:tcPr>
                  <w:tcW w:w="2467" w:type="dxa"/>
                  <w:vAlign w:val="center"/>
                </w:tcPr>
                <w:p>
                  <w:pPr>
                    <w:rPr>
                      <w:rFonts w:hint="eastAsia"/>
                      <w:sz w:val="18"/>
                      <w:szCs w:val="18"/>
                    </w:rPr>
                  </w:pPr>
                  <w:r>
                    <w:rPr>
                      <w:rFonts w:hint="eastAsia"/>
                      <w:sz w:val="18"/>
                      <w:szCs w:val="18"/>
                    </w:rPr>
                    <w:t>各部门目标</w:t>
                  </w:r>
                </w:p>
                <w:p>
                  <w:pPr>
                    <w:rPr>
                      <w:rFonts w:hint="eastAsia"/>
                      <w:sz w:val="18"/>
                      <w:szCs w:val="18"/>
                    </w:rPr>
                  </w:pPr>
                  <w:r>
                    <w:rPr>
                      <w:rFonts w:hint="eastAsia"/>
                      <w:sz w:val="18"/>
                      <w:szCs w:val="18"/>
                    </w:rPr>
                    <w:t>指标方案</w:t>
                  </w:r>
                </w:p>
              </w:tc>
              <w:tc>
                <w:tcPr>
                  <w:tcW w:w="1214" w:type="dxa"/>
                  <w:vAlign w:val="center"/>
                </w:tcPr>
                <w:p>
                  <w:pPr>
                    <w:jc w:val="center"/>
                    <w:rPr>
                      <w:rFonts w:hint="eastAsia"/>
                      <w:sz w:val="18"/>
                      <w:szCs w:val="18"/>
                    </w:rPr>
                  </w:pPr>
                  <w:r>
                    <w:rPr>
                      <w:rFonts w:hint="eastAsia"/>
                      <w:sz w:val="18"/>
                      <w:szCs w:val="18"/>
                    </w:rPr>
                    <w:t>讲课</w:t>
                  </w:r>
                </w:p>
              </w:tc>
              <w:tc>
                <w:tcPr>
                  <w:tcW w:w="1381" w:type="dxa"/>
                  <w:vAlign w:val="center"/>
                </w:tcPr>
                <w:p>
                  <w:pPr>
                    <w:jc w:val="center"/>
                    <w:rPr>
                      <w:rFonts w:hint="eastAsia"/>
                      <w:sz w:val="18"/>
                      <w:szCs w:val="18"/>
                    </w:rPr>
                  </w:pPr>
                  <w:r>
                    <w:rPr>
                      <w:rFonts w:hint="eastAsia"/>
                      <w:sz w:val="18"/>
                      <w:szCs w:val="18"/>
                    </w:rPr>
                    <w:t>会议室</w:t>
                  </w:r>
                </w:p>
              </w:tc>
            </w:tr>
            <w:tr>
              <w:tblPrEx>
                <w:tblCellMar>
                  <w:top w:w="0" w:type="dxa"/>
                  <w:left w:w="108" w:type="dxa"/>
                  <w:bottom w:w="0" w:type="dxa"/>
                  <w:right w:w="108" w:type="dxa"/>
                </w:tblCellMar>
              </w:tblPrEx>
              <w:trPr>
                <w:trHeight w:val="631" w:hRule="atLeast"/>
              </w:trPr>
              <w:tc>
                <w:tcPr>
                  <w:tcW w:w="1079" w:type="dxa"/>
                  <w:vAlign w:val="center"/>
                </w:tcPr>
                <w:p>
                  <w:pPr>
                    <w:jc w:val="center"/>
                    <w:rPr>
                      <w:rFonts w:hint="eastAsia"/>
                      <w:sz w:val="18"/>
                      <w:szCs w:val="18"/>
                    </w:rPr>
                  </w:pPr>
                  <w:r>
                    <w:rPr>
                      <w:rFonts w:hint="eastAsia"/>
                      <w:sz w:val="18"/>
                      <w:szCs w:val="18"/>
                    </w:rPr>
                    <w:t>5</w:t>
                  </w:r>
                </w:p>
              </w:tc>
              <w:tc>
                <w:tcPr>
                  <w:tcW w:w="1941" w:type="dxa"/>
                  <w:vAlign w:val="center"/>
                </w:tcPr>
                <w:p>
                  <w:pPr>
                    <w:jc w:val="center"/>
                    <w:rPr>
                      <w:rFonts w:hint="eastAsia"/>
                      <w:sz w:val="18"/>
                      <w:szCs w:val="18"/>
                    </w:rPr>
                  </w:pPr>
                  <w:r>
                    <w:rPr>
                      <w:rFonts w:hint="eastAsia"/>
                      <w:sz w:val="18"/>
                      <w:szCs w:val="18"/>
                    </w:rPr>
                    <w:t>全体员工</w:t>
                  </w:r>
                </w:p>
              </w:tc>
              <w:tc>
                <w:tcPr>
                  <w:tcW w:w="1838" w:type="dxa"/>
                  <w:vAlign w:val="center"/>
                </w:tcPr>
                <w:p>
                  <w:pPr>
                    <w:rPr>
                      <w:rFonts w:hint="eastAsia"/>
                      <w:sz w:val="18"/>
                      <w:szCs w:val="18"/>
                    </w:rPr>
                  </w:pPr>
                  <w:r>
                    <w:rPr>
                      <w:rFonts w:hint="eastAsia"/>
                      <w:sz w:val="18"/>
                      <w:szCs w:val="18"/>
                    </w:rPr>
                    <w:t>2020年4月</w:t>
                  </w:r>
                </w:p>
              </w:tc>
              <w:tc>
                <w:tcPr>
                  <w:tcW w:w="2467" w:type="dxa"/>
                  <w:vAlign w:val="center"/>
                </w:tcPr>
                <w:p>
                  <w:pPr>
                    <w:rPr>
                      <w:rFonts w:hint="eastAsia"/>
                      <w:sz w:val="18"/>
                      <w:szCs w:val="18"/>
                    </w:rPr>
                  </w:pPr>
                  <w:r>
                    <w:rPr>
                      <w:rFonts w:hint="eastAsia"/>
                      <w:sz w:val="18"/>
                      <w:szCs w:val="18"/>
                    </w:rPr>
                    <w:t>工作中的安全防范，职业健康知识及安全生产知识</w:t>
                  </w:r>
                </w:p>
              </w:tc>
              <w:tc>
                <w:tcPr>
                  <w:tcW w:w="1214" w:type="dxa"/>
                  <w:vAlign w:val="center"/>
                </w:tcPr>
                <w:p>
                  <w:pPr>
                    <w:jc w:val="center"/>
                    <w:rPr>
                      <w:rFonts w:hint="eastAsia"/>
                      <w:sz w:val="18"/>
                      <w:szCs w:val="18"/>
                    </w:rPr>
                  </w:pPr>
                  <w:r>
                    <w:rPr>
                      <w:rFonts w:hint="eastAsia"/>
                      <w:sz w:val="18"/>
                      <w:szCs w:val="18"/>
                    </w:rPr>
                    <w:t>讲课</w:t>
                  </w:r>
                </w:p>
              </w:tc>
              <w:tc>
                <w:tcPr>
                  <w:tcW w:w="1381" w:type="dxa"/>
                  <w:vAlign w:val="center"/>
                </w:tcPr>
                <w:p>
                  <w:pPr>
                    <w:jc w:val="center"/>
                    <w:rPr>
                      <w:rFonts w:hint="eastAsia"/>
                      <w:sz w:val="18"/>
                      <w:szCs w:val="18"/>
                    </w:rPr>
                  </w:pPr>
                  <w:r>
                    <w:rPr>
                      <w:rFonts w:hint="eastAsia"/>
                      <w:sz w:val="18"/>
                      <w:szCs w:val="18"/>
                    </w:rPr>
                    <w:t>会议室</w:t>
                  </w:r>
                </w:p>
              </w:tc>
            </w:tr>
          </w:tbl>
          <w:p>
            <w:pPr>
              <w:pStyle w:val="6"/>
              <w:widowControl/>
              <w:ind w:firstLine="420" w:firstLineChars="200"/>
              <w:rPr>
                <w:rFonts w:ascii="Times New Roman" w:hAnsi="Times New Roman"/>
                <w:sz w:val="21"/>
                <w:szCs w:val="21"/>
              </w:rPr>
            </w:pPr>
            <w:r>
              <w:rPr>
                <w:rFonts w:hint="eastAsia" w:ascii="Times New Roman" w:hAnsi="Times New Roman"/>
                <w:sz w:val="21"/>
                <w:szCs w:val="21"/>
              </w:rPr>
              <w:tab/>
            </w:r>
            <w:r>
              <w:rPr>
                <w:rFonts w:hint="eastAsia" w:ascii="Times New Roman" w:hAnsi="Times New Roman"/>
                <w:sz w:val="21"/>
                <w:szCs w:val="21"/>
              </w:rPr>
              <w:t>培训时间分布在每个月份。</w:t>
            </w:r>
            <w:r>
              <w:rPr>
                <w:rFonts w:hint="eastAsia" w:ascii="Times New Roman" w:hAnsi="Times New Roman"/>
                <w:sz w:val="21"/>
                <w:szCs w:val="21"/>
              </w:rPr>
              <w:tab/>
            </w:r>
            <w:r>
              <w:rPr>
                <w:rFonts w:hint="eastAsia" w:ascii="Times New Roman" w:hAnsi="Times New Roman"/>
                <w:sz w:val="21"/>
                <w:szCs w:val="21"/>
              </w:rPr>
              <w:tab/>
            </w:r>
            <w:r>
              <w:rPr>
                <w:rFonts w:hint="eastAsia" w:ascii="Times New Roman" w:hAnsi="Times New Roman"/>
                <w:sz w:val="21"/>
                <w:szCs w:val="21"/>
              </w:rPr>
              <w:tab/>
            </w:r>
            <w:r>
              <w:rPr>
                <w:rFonts w:hint="eastAsia" w:ascii="Times New Roman" w:hAnsi="Times New Roman"/>
                <w:sz w:val="21"/>
                <w:szCs w:val="21"/>
              </w:rPr>
              <w:tab/>
            </w:r>
            <w:r>
              <w:rPr>
                <w:rFonts w:hint="eastAsia" w:ascii="Times New Roman" w:hAnsi="Times New Roman"/>
                <w:sz w:val="21"/>
                <w:szCs w:val="21"/>
              </w:rPr>
              <w:tab/>
            </w:r>
            <w:r>
              <w:rPr>
                <w:rFonts w:hint="eastAsia" w:ascii="Times New Roman" w:hAnsi="Times New Roman"/>
                <w:sz w:val="21"/>
                <w:szCs w:val="21"/>
              </w:rPr>
              <w:tab/>
            </w:r>
          </w:p>
          <w:p>
            <w:pPr>
              <w:pStyle w:val="6"/>
              <w:widowControl/>
              <w:ind w:firstLine="420" w:firstLineChars="200"/>
              <w:rPr>
                <w:rFonts w:ascii="Times New Roman" w:hAnsi="Times New Roman"/>
                <w:sz w:val="21"/>
                <w:szCs w:val="21"/>
              </w:rPr>
            </w:pPr>
          </w:p>
          <w:p>
            <w:pPr>
              <w:pStyle w:val="6"/>
              <w:widowControl/>
              <w:ind w:firstLine="420" w:firstLineChars="200"/>
              <w:rPr>
                <w:rFonts w:ascii="Times New Roman" w:hAnsi="Times New Roman"/>
                <w:sz w:val="21"/>
                <w:szCs w:val="21"/>
              </w:rPr>
            </w:pPr>
            <w:r>
              <w:rPr>
                <w:rFonts w:hint="eastAsia" w:ascii="Times New Roman" w:hAnsi="Times New Roman"/>
                <w:sz w:val="21"/>
                <w:szCs w:val="21"/>
              </w:rPr>
              <w:t>同时有培训记录、受培训部门参加培训人员培训方式培训内容考核方式等内容，显示安排标准、管理手册和程序、法律法规和其他要求、方针、危险源、环境因素和关键特殊施工过程控制培训、意识教育、新员工等培训。</w:t>
            </w:r>
          </w:p>
          <w:p/>
          <w:p>
            <w:r>
              <w:rPr>
                <w:rFonts w:hint="eastAsia"/>
              </w:rPr>
              <w:t>抽查1：培训实施记录</w:t>
            </w:r>
          </w:p>
          <w:tbl>
            <w:tblPr>
              <w:tblStyle w:val="10"/>
              <w:tblW w:w="0" w:type="auto"/>
              <w:tblInd w:w="0" w:type="dxa"/>
              <w:tblLayout w:type="fixed"/>
              <w:tblCellMar>
                <w:top w:w="0" w:type="dxa"/>
                <w:left w:w="108" w:type="dxa"/>
                <w:bottom w:w="0" w:type="dxa"/>
                <w:right w:w="108" w:type="dxa"/>
              </w:tblCellMar>
            </w:tblPr>
            <w:tblGrid>
              <w:gridCol w:w="2103"/>
              <w:gridCol w:w="2265"/>
              <w:gridCol w:w="1941"/>
              <w:gridCol w:w="2105"/>
            </w:tblGrid>
            <w:tr>
              <w:tblPrEx>
                <w:tblCellMar>
                  <w:top w:w="0" w:type="dxa"/>
                  <w:left w:w="108" w:type="dxa"/>
                  <w:bottom w:w="0" w:type="dxa"/>
                  <w:right w:w="108" w:type="dxa"/>
                </w:tblCellMar>
              </w:tblPrEx>
              <w:trPr>
                <w:trHeight w:val="330" w:hRule="atLeast"/>
              </w:trPr>
              <w:tc>
                <w:tcPr>
                  <w:tcW w:w="2103" w:type="dxa"/>
                  <w:vAlign w:val="center"/>
                </w:tcPr>
                <w:p>
                  <w:pPr>
                    <w:jc w:val="center"/>
                    <w:rPr>
                      <w:rFonts w:hint="eastAsia"/>
                      <w:sz w:val="18"/>
                      <w:szCs w:val="18"/>
                    </w:rPr>
                  </w:pPr>
                  <w:r>
                    <w:rPr>
                      <w:rFonts w:hint="eastAsia"/>
                      <w:sz w:val="18"/>
                      <w:szCs w:val="18"/>
                    </w:rPr>
                    <w:t>时  间</w:t>
                  </w:r>
                </w:p>
              </w:tc>
              <w:tc>
                <w:tcPr>
                  <w:tcW w:w="2265" w:type="dxa"/>
                  <w:vAlign w:val="center"/>
                </w:tcPr>
                <w:p>
                  <w:pPr>
                    <w:jc w:val="center"/>
                    <w:rPr>
                      <w:rFonts w:hint="eastAsia"/>
                      <w:sz w:val="18"/>
                      <w:szCs w:val="18"/>
                    </w:rPr>
                  </w:pPr>
                  <w:r>
                    <w:rPr>
                      <w:rFonts w:hint="eastAsia"/>
                      <w:sz w:val="18"/>
                      <w:szCs w:val="18"/>
                    </w:rPr>
                    <w:t>2020-1-28-29</w:t>
                  </w:r>
                </w:p>
              </w:tc>
              <w:tc>
                <w:tcPr>
                  <w:tcW w:w="1941" w:type="dxa"/>
                  <w:vAlign w:val="center"/>
                </w:tcPr>
                <w:p>
                  <w:pPr>
                    <w:jc w:val="center"/>
                    <w:rPr>
                      <w:rFonts w:hint="eastAsia"/>
                      <w:sz w:val="18"/>
                      <w:szCs w:val="18"/>
                    </w:rPr>
                  </w:pPr>
                  <w:r>
                    <w:rPr>
                      <w:rFonts w:hint="eastAsia"/>
                      <w:sz w:val="18"/>
                      <w:szCs w:val="18"/>
                    </w:rPr>
                    <w:t>地  点</w:t>
                  </w:r>
                </w:p>
              </w:tc>
              <w:tc>
                <w:tcPr>
                  <w:tcW w:w="2104" w:type="dxa"/>
                  <w:vAlign w:val="center"/>
                </w:tcPr>
                <w:p>
                  <w:pPr>
                    <w:jc w:val="center"/>
                    <w:rPr>
                      <w:rFonts w:hint="eastAsia"/>
                      <w:sz w:val="18"/>
                      <w:szCs w:val="18"/>
                    </w:rPr>
                  </w:pPr>
                  <w:r>
                    <w:rPr>
                      <w:rFonts w:hint="eastAsia"/>
                      <w:sz w:val="18"/>
                      <w:szCs w:val="18"/>
                    </w:rPr>
                    <w:t>会议室</w:t>
                  </w:r>
                </w:p>
              </w:tc>
            </w:tr>
            <w:tr>
              <w:tblPrEx>
                <w:tblCellMar>
                  <w:top w:w="0" w:type="dxa"/>
                  <w:left w:w="108" w:type="dxa"/>
                  <w:bottom w:w="0" w:type="dxa"/>
                  <w:right w:w="108" w:type="dxa"/>
                </w:tblCellMar>
              </w:tblPrEx>
              <w:trPr>
                <w:cantSplit/>
                <w:trHeight w:val="330" w:hRule="atLeast"/>
              </w:trPr>
              <w:tc>
                <w:tcPr>
                  <w:tcW w:w="2103" w:type="dxa"/>
                  <w:vAlign w:val="center"/>
                </w:tcPr>
                <w:p>
                  <w:pPr>
                    <w:jc w:val="center"/>
                    <w:rPr>
                      <w:rFonts w:hint="eastAsia"/>
                      <w:sz w:val="18"/>
                      <w:szCs w:val="18"/>
                    </w:rPr>
                  </w:pPr>
                  <w:r>
                    <w:rPr>
                      <w:rFonts w:hint="eastAsia"/>
                      <w:sz w:val="18"/>
                      <w:szCs w:val="18"/>
                    </w:rPr>
                    <w:t>主  讲</w:t>
                  </w:r>
                </w:p>
              </w:tc>
              <w:tc>
                <w:tcPr>
                  <w:tcW w:w="6311" w:type="dxa"/>
                  <w:gridSpan w:val="3"/>
                </w:tcPr>
                <w:p>
                  <w:pPr>
                    <w:rPr>
                      <w:rFonts w:hint="eastAsia"/>
                      <w:sz w:val="18"/>
                      <w:szCs w:val="18"/>
                    </w:rPr>
                  </w:pPr>
                  <w:r>
                    <w:rPr>
                      <w:rFonts w:hint="eastAsia"/>
                      <w:sz w:val="18"/>
                      <w:szCs w:val="18"/>
                    </w:rPr>
                    <w:t>外聘标准讲师周老师</w:t>
                  </w:r>
                </w:p>
              </w:tc>
            </w:tr>
            <w:tr>
              <w:tblPrEx>
                <w:tblCellMar>
                  <w:top w:w="0" w:type="dxa"/>
                  <w:left w:w="108" w:type="dxa"/>
                  <w:bottom w:w="0" w:type="dxa"/>
                  <w:right w:w="108" w:type="dxa"/>
                </w:tblCellMar>
              </w:tblPrEx>
              <w:trPr>
                <w:cantSplit/>
                <w:trHeight w:val="319" w:hRule="atLeast"/>
              </w:trPr>
              <w:tc>
                <w:tcPr>
                  <w:tcW w:w="2103" w:type="dxa"/>
                  <w:vAlign w:val="center"/>
                </w:tcPr>
                <w:p>
                  <w:pPr>
                    <w:jc w:val="center"/>
                    <w:rPr>
                      <w:rFonts w:hint="eastAsia"/>
                      <w:sz w:val="18"/>
                      <w:szCs w:val="18"/>
                    </w:rPr>
                  </w:pPr>
                  <w:r>
                    <w:rPr>
                      <w:rFonts w:hint="eastAsia"/>
                      <w:sz w:val="18"/>
                      <w:szCs w:val="18"/>
                    </w:rPr>
                    <w:t>参加人员</w:t>
                  </w:r>
                </w:p>
              </w:tc>
              <w:tc>
                <w:tcPr>
                  <w:tcW w:w="6311" w:type="dxa"/>
                  <w:gridSpan w:val="3"/>
                </w:tcPr>
                <w:p>
                  <w:pPr>
                    <w:rPr>
                      <w:rFonts w:hint="eastAsia"/>
                      <w:sz w:val="18"/>
                      <w:szCs w:val="18"/>
                    </w:rPr>
                  </w:pPr>
                  <w:r>
                    <w:rPr>
                      <w:rFonts w:hint="eastAsia"/>
                      <w:sz w:val="18"/>
                      <w:szCs w:val="18"/>
                    </w:rPr>
                    <w:t>全体员工</w:t>
                  </w:r>
                </w:p>
              </w:tc>
            </w:tr>
            <w:tr>
              <w:tblPrEx>
                <w:tblCellMar>
                  <w:top w:w="0" w:type="dxa"/>
                  <w:left w:w="108" w:type="dxa"/>
                  <w:bottom w:w="0" w:type="dxa"/>
                  <w:right w:w="108" w:type="dxa"/>
                </w:tblCellMar>
              </w:tblPrEx>
              <w:trPr>
                <w:cantSplit/>
                <w:trHeight w:val="1229" w:hRule="atLeast"/>
              </w:trPr>
              <w:tc>
                <w:tcPr>
                  <w:tcW w:w="2103" w:type="dxa"/>
                  <w:vAlign w:val="center"/>
                </w:tcPr>
                <w:p>
                  <w:pPr>
                    <w:jc w:val="center"/>
                    <w:rPr>
                      <w:rFonts w:hint="eastAsia"/>
                      <w:sz w:val="18"/>
                      <w:szCs w:val="18"/>
                    </w:rPr>
                  </w:pPr>
                  <w:r>
                    <w:rPr>
                      <w:rFonts w:hint="eastAsia"/>
                      <w:sz w:val="18"/>
                      <w:szCs w:val="18"/>
                    </w:rPr>
                    <w:t>培训主要内容</w:t>
                  </w:r>
                </w:p>
              </w:tc>
              <w:tc>
                <w:tcPr>
                  <w:tcW w:w="6311" w:type="dxa"/>
                  <w:gridSpan w:val="3"/>
                </w:tcPr>
                <w:p>
                  <w:pPr>
                    <w:rPr>
                      <w:sz w:val="18"/>
                      <w:szCs w:val="18"/>
                    </w:rPr>
                  </w:pPr>
                  <w:r>
                    <w:rPr>
                      <w:rFonts w:hint="eastAsia"/>
                      <w:sz w:val="18"/>
                      <w:szCs w:val="18"/>
                    </w:rPr>
                    <w:t>1、ISO9001:2015质量管理体系要求</w:t>
                  </w:r>
                </w:p>
                <w:p>
                  <w:pPr>
                    <w:rPr>
                      <w:rFonts w:hint="eastAsia"/>
                      <w:sz w:val="18"/>
                      <w:szCs w:val="18"/>
                    </w:rPr>
                  </w:pPr>
                  <w:r>
                    <w:rPr>
                      <w:sz w:val="18"/>
                      <w:szCs w:val="18"/>
                    </w:rPr>
                    <w:t>2</w:t>
                  </w:r>
                  <w:r>
                    <w:rPr>
                      <w:rFonts w:hint="eastAsia"/>
                      <w:sz w:val="18"/>
                      <w:szCs w:val="18"/>
                    </w:rPr>
                    <w:t>、</w:t>
                  </w:r>
                  <w:r>
                    <w:rPr>
                      <w:sz w:val="18"/>
                      <w:szCs w:val="18"/>
                    </w:rPr>
                    <w:t>ISO14001:2015</w:t>
                  </w:r>
                  <w:r>
                    <w:rPr>
                      <w:rFonts w:hint="eastAsia"/>
                      <w:sz w:val="18"/>
                      <w:szCs w:val="18"/>
                    </w:rPr>
                    <w:t>环境管理体系要求及使用指南</w:t>
                  </w:r>
                </w:p>
                <w:p>
                  <w:pPr>
                    <w:rPr>
                      <w:rFonts w:hint="eastAsia"/>
                      <w:sz w:val="18"/>
                      <w:szCs w:val="18"/>
                    </w:rPr>
                  </w:pPr>
                  <w:r>
                    <w:rPr>
                      <w:sz w:val="18"/>
                      <w:szCs w:val="18"/>
                    </w:rPr>
                    <w:t>3</w:t>
                  </w:r>
                  <w:r>
                    <w:rPr>
                      <w:rFonts w:hint="eastAsia"/>
                      <w:sz w:val="18"/>
                      <w:szCs w:val="18"/>
                    </w:rPr>
                    <w:t>、GB/T45001职业健康安全管理体系要求</w:t>
                  </w:r>
                </w:p>
              </w:tc>
            </w:tr>
            <w:tr>
              <w:tblPrEx>
                <w:tblCellMar>
                  <w:top w:w="0" w:type="dxa"/>
                  <w:left w:w="108" w:type="dxa"/>
                  <w:bottom w:w="0" w:type="dxa"/>
                  <w:right w:w="108" w:type="dxa"/>
                </w:tblCellMar>
              </w:tblPrEx>
              <w:trPr>
                <w:cantSplit/>
                <w:trHeight w:val="1340" w:hRule="atLeast"/>
              </w:trPr>
              <w:tc>
                <w:tcPr>
                  <w:tcW w:w="2103" w:type="dxa"/>
                  <w:vAlign w:val="center"/>
                </w:tcPr>
                <w:p>
                  <w:pPr>
                    <w:jc w:val="center"/>
                    <w:rPr>
                      <w:rFonts w:hint="eastAsia"/>
                      <w:sz w:val="18"/>
                      <w:szCs w:val="18"/>
                    </w:rPr>
                  </w:pPr>
                  <w:r>
                    <w:rPr>
                      <w:rFonts w:hint="eastAsia"/>
                      <w:sz w:val="18"/>
                      <w:szCs w:val="18"/>
                    </w:rPr>
                    <w:t>考核评价情况</w:t>
                  </w:r>
                </w:p>
              </w:tc>
              <w:tc>
                <w:tcPr>
                  <w:tcW w:w="6311" w:type="dxa"/>
                  <w:gridSpan w:val="3"/>
                </w:tcPr>
                <w:p>
                  <w:pPr>
                    <w:rPr>
                      <w:rFonts w:hint="eastAsia"/>
                      <w:sz w:val="18"/>
                      <w:szCs w:val="18"/>
                    </w:rPr>
                  </w:pPr>
                  <w:r>
                    <w:rPr>
                      <w:rFonts w:hint="eastAsia"/>
                      <w:sz w:val="18"/>
                      <w:szCs w:val="18"/>
                    </w:rPr>
                    <w:t>经过培训讲解，提问、交流等形式进行评价，培训效果良好，达到了预期目的。</w:t>
                  </w:r>
                </w:p>
                <w:p>
                  <w:pPr>
                    <w:rPr>
                      <w:rFonts w:hint="eastAsia"/>
                      <w:sz w:val="18"/>
                      <w:szCs w:val="18"/>
                    </w:rPr>
                  </w:pPr>
                </w:p>
                <w:p>
                  <w:pPr>
                    <w:rPr>
                      <w:rFonts w:hint="eastAsia"/>
                      <w:sz w:val="18"/>
                      <w:szCs w:val="18"/>
                    </w:rPr>
                  </w:pPr>
                  <w:r>
                    <w:rPr>
                      <w:rFonts w:hint="eastAsia"/>
                      <w:sz w:val="18"/>
                      <w:szCs w:val="18"/>
                    </w:rPr>
                    <w:t xml:space="preserve">         </w:t>
                  </w:r>
                </w:p>
                <w:p>
                  <w:pPr>
                    <w:ind w:firstLine="810" w:firstLineChars="450"/>
                    <w:rPr>
                      <w:rFonts w:hint="eastAsia"/>
                      <w:sz w:val="18"/>
                      <w:szCs w:val="18"/>
                    </w:rPr>
                  </w:pPr>
                  <w:r>
                    <w:rPr>
                      <w:rFonts w:hint="eastAsia"/>
                      <w:sz w:val="18"/>
                      <w:szCs w:val="18"/>
                    </w:rPr>
                    <w:t>评价人：苏立苑  2020-1-</w:t>
                  </w:r>
                  <w:r>
                    <w:rPr>
                      <w:sz w:val="18"/>
                      <w:szCs w:val="18"/>
                    </w:rPr>
                    <w:t>29</w:t>
                  </w:r>
                </w:p>
              </w:tc>
            </w:tr>
          </w:tbl>
          <w:p>
            <w:r>
              <w:rPr>
                <w:rFonts w:hint="eastAsia"/>
              </w:rPr>
              <w:t>抽查2：培训实施记录</w:t>
            </w:r>
          </w:p>
          <w:tbl>
            <w:tblPr>
              <w:tblStyle w:val="10"/>
              <w:tblW w:w="0" w:type="auto"/>
              <w:tblInd w:w="0" w:type="dxa"/>
              <w:tblLayout w:type="fixed"/>
              <w:tblCellMar>
                <w:top w:w="0" w:type="dxa"/>
                <w:left w:w="108" w:type="dxa"/>
                <w:bottom w:w="0" w:type="dxa"/>
                <w:right w:w="108" w:type="dxa"/>
              </w:tblCellMar>
            </w:tblPr>
            <w:tblGrid>
              <w:gridCol w:w="2385"/>
              <w:gridCol w:w="2385"/>
              <w:gridCol w:w="2385"/>
              <w:gridCol w:w="2386"/>
            </w:tblGrid>
            <w:tr>
              <w:tblPrEx>
                <w:tblCellMar>
                  <w:top w:w="0" w:type="dxa"/>
                  <w:left w:w="108" w:type="dxa"/>
                  <w:bottom w:w="0" w:type="dxa"/>
                  <w:right w:w="108" w:type="dxa"/>
                </w:tblCellMar>
              </w:tblPrEx>
              <w:trPr>
                <w:trHeight w:val="563" w:hRule="atLeast"/>
              </w:trPr>
              <w:tc>
                <w:tcPr>
                  <w:tcW w:w="2385" w:type="dxa"/>
                  <w:vAlign w:val="center"/>
                </w:tcPr>
                <w:p>
                  <w:pPr>
                    <w:jc w:val="center"/>
                    <w:rPr>
                      <w:rFonts w:hint="eastAsia"/>
                      <w:sz w:val="18"/>
                      <w:szCs w:val="18"/>
                    </w:rPr>
                  </w:pPr>
                  <w:r>
                    <w:rPr>
                      <w:rFonts w:hint="eastAsia"/>
                      <w:sz w:val="18"/>
                      <w:szCs w:val="18"/>
                    </w:rPr>
                    <w:t>时  间</w:t>
                  </w:r>
                </w:p>
              </w:tc>
              <w:tc>
                <w:tcPr>
                  <w:tcW w:w="2385" w:type="dxa"/>
                </w:tcPr>
                <w:p>
                  <w:pPr>
                    <w:rPr>
                      <w:rFonts w:hint="eastAsia"/>
                      <w:sz w:val="18"/>
                      <w:szCs w:val="18"/>
                    </w:rPr>
                  </w:pPr>
                  <w:r>
                    <w:rPr>
                      <w:rFonts w:hint="eastAsia"/>
                      <w:sz w:val="18"/>
                      <w:szCs w:val="18"/>
                    </w:rPr>
                    <w:t>2020.2.</w:t>
                  </w:r>
                  <w:r>
                    <w:rPr>
                      <w:sz w:val="18"/>
                      <w:szCs w:val="18"/>
                    </w:rPr>
                    <w:t>2</w:t>
                  </w:r>
                </w:p>
              </w:tc>
              <w:tc>
                <w:tcPr>
                  <w:tcW w:w="2385" w:type="dxa"/>
                  <w:vAlign w:val="center"/>
                </w:tcPr>
                <w:p>
                  <w:pPr>
                    <w:jc w:val="center"/>
                    <w:rPr>
                      <w:rFonts w:hint="eastAsia"/>
                      <w:sz w:val="18"/>
                      <w:szCs w:val="18"/>
                    </w:rPr>
                  </w:pPr>
                  <w:r>
                    <w:rPr>
                      <w:rFonts w:hint="eastAsia"/>
                      <w:sz w:val="18"/>
                      <w:szCs w:val="18"/>
                    </w:rPr>
                    <w:t>地  点</w:t>
                  </w:r>
                </w:p>
              </w:tc>
              <w:tc>
                <w:tcPr>
                  <w:tcW w:w="2386" w:type="dxa"/>
                </w:tcPr>
                <w:p>
                  <w:pPr>
                    <w:rPr>
                      <w:rFonts w:hint="eastAsia"/>
                      <w:sz w:val="18"/>
                      <w:szCs w:val="18"/>
                    </w:rPr>
                  </w:pPr>
                  <w:r>
                    <w:rPr>
                      <w:rFonts w:hint="eastAsia"/>
                      <w:sz w:val="18"/>
                      <w:szCs w:val="18"/>
                    </w:rPr>
                    <w:t>会议室</w:t>
                  </w:r>
                </w:p>
              </w:tc>
            </w:tr>
            <w:tr>
              <w:tblPrEx>
                <w:tblCellMar>
                  <w:top w:w="0" w:type="dxa"/>
                  <w:left w:w="108" w:type="dxa"/>
                  <w:bottom w:w="0" w:type="dxa"/>
                  <w:right w:w="108" w:type="dxa"/>
                </w:tblCellMar>
              </w:tblPrEx>
              <w:trPr>
                <w:cantSplit/>
                <w:trHeight w:val="563" w:hRule="atLeast"/>
              </w:trPr>
              <w:tc>
                <w:tcPr>
                  <w:tcW w:w="2385" w:type="dxa"/>
                  <w:vAlign w:val="center"/>
                </w:tcPr>
                <w:p>
                  <w:pPr>
                    <w:jc w:val="center"/>
                    <w:rPr>
                      <w:rFonts w:hint="eastAsia"/>
                      <w:sz w:val="18"/>
                      <w:szCs w:val="18"/>
                    </w:rPr>
                  </w:pPr>
                  <w:r>
                    <w:rPr>
                      <w:rFonts w:hint="eastAsia"/>
                      <w:sz w:val="18"/>
                      <w:szCs w:val="18"/>
                    </w:rPr>
                    <w:t>主  讲</w:t>
                  </w:r>
                </w:p>
              </w:tc>
              <w:tc>
                <w:tcPr>
                  <w:tcW w:w="7156" w:type="dxa"/>
                  <w:gridSpan w:val="3"/>
                </w:tcPr>
                <w:p>
                  <w:pPr>
                    <w:rPr>
                      <w:rFonts w:hint="eastAsia"/>
                      <w:sz w:val="18"/>
                      <w:szCs w:val="18"/>
                    </w:rPr>
                  </w:pPr>
                  <w:r>
                    <w:rPr>
                      <w:rFonts w:hint="eastAsia"/>
                      <w:sz w:val="18"/>
                      <w:szCs w:val="18"/>
                    </w:rPr>
                    <w:t>苏立苑</w:t>
                  </w:r>
                </w:p>
              </w:tc>
            </w:tr>
            <w:tr>
              <w:tblPrEx>
                <w:tblCellMar>
                  <w:top w:w="0" w:type="dxa"/>
                  <w:left w:w="108" w:type="dxa"/>
                  <w:bottom w:w="0" w:type="dxa"/>
                  <w:right w:w="108" w:type="dxa"/>
                </w:tblCellMar>
              </w:tblPrEx>
              <w:trPr>
                <w:cantSplit/>
                <w:trHeight w:val="546" w:hRule="atLeast"/>
              </w:trPr>
              <w:tc>
                <w:tcPr>
                  <w:tcW w:w="2385" w:type="dxa"/>
                  <w:vAlign w:val="center"/>
                </w:tcPr>
                <w:p>
                  <w:pPr>
                    <w:jc w:val="center"/>
                    <w:rPr>
                      <w:rFonts w:hint="eastAsia"/>
                      <w:sz w:val="18"/>
                      <w:szCs w:val="18"/>
                    </w:rPr>
                  </w:pPr>
                  <w:r>
                    <w:rPr>
                      <w:rFonts w:hint="eastAsia"/>
                      <w:sz w:val="18"/>
                      <w:szCs w:val="18"/>
                    </w:rPr>
                    <w:t>参加人员</w:t>
                  </w:r>
                </w:p>
              </w:tc>
              <w:tc>
                <w:tcPr>
                  <w:tcW w:w="7156" w:type="dxa"/>
                  <w:gridSpan w:val="3"/>
                </w:tcPr>
                <w:p>
                  <w:pPr>
                    <w:rPr>
                      <w:rFonts w:hint="eastAsia"/>
                      <w:sz w:val="18"/>
                      <w:szCs w:val="18"/>
                    </w:rPr>
                  </w:pPr>
                  <w:r>
                    <w:rPr>
                      <w:rFonts w:hint="eastAsia"/>
                      <w:sz w:val="18"/>
                      <w:szCs w:val="18"/>
                    </w:rPr>
                    <w:t>全体员工</w:t>
                  </w:r>
                </w:p>
              </w:tc>
            </w:tr>
            <w:tr>
              <w:tblPrEx>
                <w:tblCellMar>
                  <w:top w:w="0" w:type="dxa"/>
                  <w:left w:w="108" w:type="dxa"/>
                  <w:bottom w:w="0" w:type="dxa"/>
                  <w:right w:w="108" w:type="dxa"/>
                </w:tblCellMar>
              </w:tblPrEx>
              <w:trPr>
                <w:cantSplit/>
                <w:trHeight w:val="2314" w:hRule="atLeast"/>
              </w:trPr>
              <w:tc>
                <w:tcPr>
                  <w:tcW w:w="2385" w:type="dxa"/>
                  <w:vAlign w:val="center"/>
                </w:tcPr>
                <w:p>
                  <w:pPr>
                    <w:jc w:val="center"/>
                    <w:rPr>
                      <w:rFonts w:hint="eastAsia"/>
                      <w:sz w:val="18"/>
                      <w:szCs w:val="18"/>
                    </w:rPr>
                  </w:pPr>
                  <w:r>
                    <w:rPr>
                      <w:rFonts w:hint="eastAsia"/>
                      <w:sz w:val="18"/>
                      <w:szCs w:val="18"/>
                    </w:rPr>
                    <w:t>培训主要内容</w:t>
                  </w:r>
                </w:p>
              </w:tc>
              <w:tc>
                <w:tcPr>
                  <w:tcW w:w="7156" w:type="dxa"/>
                  <w:gridSpan w:val="3"/>
                </w:tcPr>
                <w:p>
                  <w:pPr>
                    <w:rPr>
                      <w:rFonts w:hint="eastAsia"/>
                      <w:sz w:val="18"/>
                      <w:szCs w:val="18"/>
                    </w:rPr>
                  </w:pPr>
                  <w:r>
                    <w:rPr>
                      <w:rFonts w:hint="eastAsia"/>
                      <w:sz w:val="18"/>
                      <w:szCs w:val="18"/>
                    </w:rPr>
                    <w:t>1、本公司管理体系文件中，相关部门、人员职责、质量控制相关规定；</w:t>
                  </w:r>
                </w:p>
                <w:p>
                  <w:pPr>
                    <w:rPr>
                      <w:rFonts w:hint="eastAsia"/>
                      <w:sz w:val="18"/>
                      <w:szCs w:val="18"/>
                    </w:rPr>
                  </w:pPr>
                  <w:r>
                    <w:rPr>
                      <w:rFonts w:hint="eastAsia"/>
                      <w:sz w:val="18"/>
                      <w:szCs w:val="18"/>
                    </w:rPr>
                    <w:t>2、本公司策划的管理记录及分工、如何填写；</w:t>
                  </w:r>
                </w:p>
                <w:p>
                  <w:pPr>
                    <w:rPr>
                      <w:rFonts w:hint="eastAsia"/>
                      <w:sz w:val="18"/>
                      <w:szCs w:val="18"/>
                    </w:rPr>
                  </w:pPr>
                  <w:r>
                    <w:rPr>
                      <w:rFonts w:hint="eastAsia"/>
                      <w:sz w:val="18"/>
                      <w:szCs w:val="18"/>
                    </w:rPr>
                    <w:t>3、质量方面的法律法规及规范；</w:t>
                  </w:r>
                </w:p>
                <w:p>
                  <w:pPr>
                    <w:rPr>
                      <w:rFonts w:hint="eastAsia"/>
                      <w:sz w:val="18"/>
                      <w:szCs w:val="18"/>
                    </w:rPr>
                  </w:pPr>
                  <w:r>
                    <w:rPr>
                      <w:rFonts w:hint="eastAsia"/>
                      <w:sz w:val="18"/>
                      <w:szCs w:val="18"/>
                    </w:rPr>
                    <w:t>4、环境管理方面的法律法规及要求；</w:t>
                  </w:r>
                </w:p>
                <w:p>
                  <w:pPr>
                    <w:rPr>
                      <w:rFonts w:hint="eastAsia"/>
                      <w:sz w:val="18"/>
                      <w:szCs w:val="18"/>
                    </w:rPr>
                  </w:pPr>
                  <w:r>
                    <w:rPr>
                      <w:rFonts w:hint="eastAsia"/>
                      <w:sz w:val="18"/>
                      <w:szCs w:val="18"/>
                    </w:rPr>
                    <w:t>5、职业健康安全方面的法律法规及相关要求。</w:t>
                  </w:r>
                </w:p>
              </w:tc>
            </w:tr>
            <w:tr>
              <w:tblPrEx>
                <w:tblCellMar>
                  <w:top w:w="0" w:type="dxa"/>
                  <w:left w:w="108" w:type="dxa"/>
                  <w:bottom w:w="0" w:type="dxa"/>
                  <w:right w:w="108" w:type="dxa"/>
                </w:tblCellMar>
              </w:tblPrEx>
              <w:trPr>
                <w:cantSplit/>
                <w:trHeight w:val="2221" w:hRule="atLeast"/>
              </w:trPr>
              <w:tc>
                <w:tcPr>
                  <w:tcW w:w="2385" w:type="dxa"/>
                  <w:vAlign w:val="center"/>
                </w:tcPr>
                <w:p>
                  <w:pPr>
                    <w:rPr>
                      <w:rFonts w:hint="eastAsia"/>
                      <w:sz w:val="18"/>
                      <w:szCs w:val="18"/>
                    </w:rPr>
                  </w:pPr>
                  <w:r>
                    <w:rPr>
                      <w:rFonts w:hint="eastAsia"/>
                      <w:sz w:val="18"/>
                      <w:szCs w:val="18"/>
                    </w:rPr>
                    <w:t>考核评价情况</w:t>
                  </w:r>
                </w:p>
              </w:tc>
              <w:tc>
                <w:tcPr>
                  <w:tcW w:w="7156" w:type="dxa"/>
                  <w:gridSpan w:val="3"/>
                </w:tcPr>
                <w:p>
                  <w:pPr>
                    <w:rPr>
                      <w:rFonts w:hint="eastAsia"/>
                      <w:sz w:val="18"/>
                      <w:szCs w:val="18"/>
                    </w:rPr>
                  </w:pPr>
                  <w:r>
                    <w:rPr>
                      <w:rFonts w:hint="eastAsia"/>
                      <w:sz w:val="18"/>
                      <w:szCs w:val="18"/>
                    </w:rPr>
                    <w:t>经过培训讲解，提问、交流等形式进行评价，培训效果良好，达到了预期目的。</w:t>
                  </w:r>
                </w:p>
                <w:p>
                  <w:pPr>
                    <w:rPr>
                      <w:rFonts w:hint="eastAsia"/>
                      <w:sz w:val="18"/>
                      <w:szCs w:val="18"/>
                    </w:rPr>
                  </w:pPr>
                </w:p>
                <w:p>
                  <w:pPr>
                    <w:jc w:val="right"/>
                    <w:rPr>
                      <w:rFonts w:hint="eastAsia"/>
                      <w:sz w:val="18"/>
                      <w:szCs w:val="18"/>
                    </w:rPr>
                  </w:pPr>
                  <w:r>
                    <w:rPr>
                      <w:rFonts w:hint="eastAsia"/>
                      <w:sz w:val="18"/>
                      <w:szCs w:val="18"/>
                    </w:rPr>
                    <w:t>评价人：苏立苑  2020-2-2</w:t>
                  </w:r>
                </w:p>
              </w:tc>
            </w:tr>
          </w:tbl>
          <w:p>
            <w:r>
              <w:rPr>
                <w:rFonts w:hint="eastAsia"/>
              </w:rPr>
              <w:t>抽查3：培训实施记录</w:t>
            </w:r>
          </w:p>
          <w:tbl>
            <w:tblPr>
              <w:tblStyle w:val="10"/>
              <w:tblW w:w="0" w:type="auto"/>
              <w:tblInd w:w="0" w:type="dxa"/>
              <w:tblLayout w:type="fixed"/>
              <w:tblCellMar>
                <w:top w:w="0" w:type="dxa"/>
                <w:left w:w="108" w:type="dxa"/>
                <w:bottom w:w="0" w:type="dxa"/>
                <w:right w:w="108" w:type="dxa"/>
              </w:tblCellMar>
            </w:tblPr>
            <w:tblGrid>
              <w:gridCol w:w="2291"/>
              <w:gridCol w:w="2468"/>
              <w:gridCol w:w="2115"/>
              <w:gridCol w:w="2292"/>
            </w:tblGrid>
            <w:tr>
              <w:tblPrEx>
                <w:tblCellMar>
                  <w:top w:w="0" w:type="dxa"/>
                  <w:left w:w="108" w:type="dxa"/>
                  <w:bottom w:w="0" w:type="dxa"/>
                  <w:right w:w="108" w:type="dxa"/>
                </w:tblCellMar>
              </w:tblPrEx>
              <w:trPr>
                <w:trHeight w:val="331" w:hRule="atLeast"/>
              </w:trPr>
              <w:tc>
                <w:tcPr>
                  <w:tcW w:w="2291" w:type="dxa"/>
                  <w:vAlign w:val="center"/>
                </w:tcPr>
                <w:p>
                  <w:pPr>
                    <w:jc w:val="center"/>
                    <w:rPr>
                      <w:sz w:val="18"/>
                      <w:szCs w:val="18"/>
                    </w:rPr>
                  </w:pPr>
                  <w:r>
                    <w:rPr>
                      <w:rFonts w:hint="eastAsia"/>
                      <w:sz w:val="18"/>
                      <w:szCs w:val="18"/>
                    </w:rPr>
                    <w:t>时</w:t>
                  </w:r>
                  <w:r>
                    <w:rPr>
                      <w:sz w:val="18"/>
                      <w:szCs w:val="18"/>
                    </w:rPr>
                    <w:t xml:space="preserve">  </w:t>
                  </w:r>
                  <w:r>
                    <w:rPr>
                      <w:rFonts w:hint="eastAsia"/>
                      <w:sz w:val="18"/>
                      <w:szCs w:val="18"/>
                    </w:rPr>
                    <w:t>间</w:t>
                  </w:r>
                </w:p>
              </w:tc>
              <w:tc>
                <w:tcPr>
                  <w:tcW w:w="2468" w:type="dxa"/>
                  <w:vAlign w:val="center"/>
                </w:tcPr>
                <w:p>
                  <w:pPr>
                    <w:jc w:val="center"/>
                    <w:rPr>
                      <w:sz w:val="18"/>
                      <w:szCs w:val="18"/>
                    </w:rPr>
                  </w:pPr>
                  <w:r>
                    <w:rPr>
                      <w:rFonts w:hint="eastAsia"/>
                      <w:sz w:val="18"/>
                      <w:szCs w:val="18"/>
                    </w:rPr>
                    <w:t>2020.5.15</w:t>
                  </w:r>
                </w:p>
              </w:tc>
              <w:tc>
                <w:tcPr>
                  <w:tcW w:w="2115" w:type="dxa"/>
                  <w:vAlign w:val="center"/>
                </w:tcPr>
                <w:p>
                  <w:pPr>
                    <w:jc w:val="center"/>
                    <w:rPr>
                      <w:sz w:val="18"/>
                      <w:szCs w:val="18"/>
                    </w:rPr>
                  </w:pPr>
                  <w:r>
                    <w:rPr>
                      <w:rFonts w:hint="eastAsia"/>
                      <w:sz w:val="18"/>
                      <w:szCs w:val="18"/>
                    </w:rPr>
                    <w:t>地</w:t>
                  </w:r>
                  <w:r>
                    <w:rPr>
                      <w:sz w:val="18"/>
                      <w:szCs w:val="18"/>
                    </w:rPr>
                    <w:t xml:space="preserve">  </w:t>
                  </w:r>
                  <w:r>
                    <w:rPr>
                      <w:rFonts w:hint="eastAsia"/>
                      <w:sz w:val="18"/>
                      <w:szCs w:val="18"/>
                    </w:rPr>
                    <w:t>点</w:t>
                  </w:r>
                </w:p>
              </w:tc>
              <w:tc>
                <w:tcPr>
                  <w:tcW w:w="2292" w:type="dxa"/>
                  <w:vAlign w:val="center"/>
                </w:tcPr>
                <w:p>
                  <w:pPr>
                    <w:jc w:val="center"/>
                    <w:rPr>
                      <w:sz w:val="18"/>
                      <w:szCs w:val="18"/>
                    </w:rPr>
                  </w:pPr>
                  <w:r>
                    <w:rPr>
                      <w:rFonts w:hint="eastAsia"/>
                      <w:sz w:val="18"/>
                      <w:szCs w:val="18"/>
                    </w:rPr>
                    <w:t>会议室</w:t>
                  </w:r>
                </w:p>
              </w:tc>
            </w:tr>
            <w:tr>
              <w:tblPrEx>
                <w:tblCellMar>
                  <w:top w:w="0" w:type="dxa"/>
                  <w:left w:w="108" w:type="dxa"/>
                  <w:bottom w:w="0" w:type="dxa"/>
                  <w:right w:w="108" w:type="dxa"/>
                </w:tblCellMar>
              </w:tblPrEx>
              <w:trPr>
                <w:cantSplit/>
                <w:trHeight w:val="331" w:hRule="atLeast"/>
              </w:trPr>
              <w:tc>
                <w:tcPr>
                  <w:tcW w:w="2291" w:type="dxa"/>
                  <w:vAlign w:val="center"/>
                </w:tcPr>
                <w:p>
                  <w:pPr>
                    <w:jc w:val="center"/>
                    <w:rPr>
                      <w:sz w:val="18"/>
                      <w:szCs w:val="18"/>
                    </w:rPr>
                  </w:pPr>
                  <w:r>
                    <w:rPr>
                      <w:rFonts w:hint="eastAsia"/>
                      <w:sz w:val="18"/>
                      <w:szCs w:val="18"/>
                    </w:rPr>
                    <w:t>主</w:t>
                  </w:r>
                  <w:r>
                    <w:rPr>
                      <w:sz w:val="18"/>
                      <w:szCs w:val="18"/>
                    </w:rPr>
                    <w:t xml:space="preserve">  </w:t>
                  </w:r>
                  <w:r>
                    <w:rPr>
                      <w:rFonts w:hint="eastAsia"/>
                      <w:sz w:val="18"/>
                      <w:szCs w:val="18"/>
                    </w:rPr>
                    <w:t>讲</w:t>
                  </w:r>
                </w:p>
              </w:tc>
              <w:tc>
                <w:tcPr>
                  <w:tcW w:w="6874" w:type="dxa"/>
                  <w:gridSpan w:val="3"/>
                </w:tcPr>
                <w:p>
                  <w:pPr>
                    <w:rPr>
                      <w:rFonts w:hint="eastAsia"/>
                      <w:sz w:val="18"/>
                      <w:szCs w:val="18"/>
                    </w:rPr>
                  </w:pPr>
                  <w:r>
                    <w:rPr>
                      <w:rFonts w:hint="eastAsia"/>
                      <w:sz w:val="18"/>
                      <w:szCs w:val="18"/>
                    </w:rPr>
                    <w:t>苏立楠</w:t>
                  </w:r>
                </w:p>
              </w:tc>
            </w:tr>
            <w:tr>
              <w:tblPrEx>
                <w:tblCellMar>
                  <w:top w:w="0" w:type="dxa"/>
                  <w:left w:w="108" w:type="dxa"/>
                  <w:bottom w:w="0" w:type="dxa"/>
                  <w:right w:w="108" w:type="dxa"/>
                </w:tblCellMar>
              </w:tblPrEx>
              <w:trPr>
                <w:cantSplit/>
                <w:trHeight w:val="320" w:hRule="atLeast"/>
              </w:trPr>
              <w:tc>
                <w:tcPr>
                  <w:tcW w:w="2291" w:type="dxa"/>
                  <w:vAlign w:val="center"/>
                </w:tcPr>
                <w:p>
                  <w:pPr>
                    <w:jc w:val="center"/>
                    <w:rPr>
                      <w:sz w:val="18"/>
                      <w:szCs w:val="18"/>
                    </w:rPr>
                  </w:pPr>
                  <w:r>
                    <w:rPr>
                      <w:rFonts w:hint="eastAsia"/>
                      <w:sz w:val="18"/>
                      <w:szCs w:val="18"/>
                    </w:rPr>
                    <w:t>参加人员</w:t>
                  </w:r>
                </w:p>
              </w:tc>
              <w:tc>
                <w:tcPr>
                  <w:tcW w:w="6874" w:type="dxa"/>
                  <w:gridSpan w:val="3"/>
                </w:tcPr>
                <w:p>
                  <w:pPr>
                    <w:rPr>
                      <w:rFonts w:hint="eastAsia"/>
                      <w:sz w:val="18"/>
                      <w:szCs w:val="18"/>
                    </w:rPr>
                  </w:pPr>
                  <w:r>
                    <w:rPr>
                      <w:rFonts w:hint="eastAsia"/>
                      <w:sz w:val="18"/>
                      <w:szCs w:val="18"/>
                    </w:rPr>
                    <w:t>全体员工</w:t>
                  </w:r>
                </w:p>
              </w:tc>
            </w:tr>
            <w:tr>
              <w:tblPrEx>
                <w:tblCellMar>
                  <w:top w:w="0" w:type="dxa"/>
                  <w:left w:w="108" w:type="dxa"/>
                  <w:bottom w:w="0" w:type="dxa"/>
                  <w:right w:w="108" w:type="dxa"/>
                </w:tblCellMar>
              </w:tblPrEx>
              <w:trPr>
                <w:cantSplit/>
                <w:trHeight w:val="3008" w:hRule="atLeast"/>
              </w:trPr>
              <w:tc>
                <w:tcPr>
                  <w:tcW w:w="2291" w:type="dxa"/>
                  <w:vAlign w:val="center"/>
                </w:tcPr>
                <w:p>
                  <w:pPr>
                    <w:jc w:val="center"/>
                    <w:rPr>
                      <w:sz w:val="18"/>
                      <w:szCs w:val="18"/>
                    </w:rPr>
                  </w:pPr>
                  <w:r>
                    <w:rPr>
                      <w:rFonts w:hint="eastAsia"/>
                      <w:sz w:val="18"/>
                      <w:szCs w:val="18"/>
                    </w:rPr>
                    <w:t>培训主要内容</w:t>
                  </w:r>
                </w:p>
              </w:tc>
              <w:tc>
                <w:tcPr>
                  <w:tcW w:w="6874" w:type="dxa"/>
                  <w:gridSpan w:val="3"/>
                </w:tcPr>
                <w:p>
                  <w:pPr>
                    <w:spacing w:line="380" w:lineRule="exact"/>
                    <w:rPr>
                      <w:rFonts w:hint="eastAsia"/>
                      <w:sz w:val="18"/>
                      <w:szCs w:val="18"/>
                    </w:rPr>
                  </w:pPr>
                  <w:r>
                    <w:rPr>
                      <w:rFonts w:hint="eastAsia"/>
                      <w:sz w:val="18"/>
                      <w:szCs w:val="18"/>
                    </w:rPr>
                    <w:t>1、公司总目标；</w:t>
                  </w:r>
                  <w:r>
                    <w:rPr>
                      <w:rFonts w:hint="eastAsia"/>
                      <w:sz w:val="18"/>
                      <w:szCs w:val="18"/>
                    </w:rPr>
                    <w:br w:type="textWrapping"/>
                  </w:r>
                  <w:r>
                    <w:rPr>
                      <w:rFonts w:hint="eastAsia"/>
                      <w:sz w:val="18"/>
                      <w:szCs w:val="18"/>
                    </w:rPr>
                    <w:t>顾客满意度95分以上；</w:t>
                  </w:r>
                </w:p>
                <w:p>
                  <w:pPr>
                    <w:spacing w:line="380" w:lineRule="exact"/>
                    <w:rPr>
                      <w:rFonts w:hint="eastAsia"/>
                      <w:sz w:val="18"/>
                      <w:szCs w:val="18"/>
                    </w:rPr>
                  </w:pPr>
                  <w:r>
                    <w:rPr>
                      <w:rFonts w:hint="eastAsia"/>
                      <w:sz w:val="18"/>
                      <w:szCs w:val="18"/>
                    </w:rPr>
                    <w:t>固废分类处置率100%；</w:t>
                  </w:r>
                </w:p>
                <w:p>
                  <w:pPr>
                    <w:spacing w:line="380" w:lineRule="exact"/>
                    <w:rPr>
                      <w:rFonts w:hint="eastAsia"/>
                      <w:sz w:val="18"/>
                      <w:szCs w:val="18"/>
                    </w:rPr>
                  </w:pPr>
                  <w:r>
                    <w:rPr>
                      <w:rFonts w:hint="eastAsia"/>
                      <w:sz w:val="18"/>
                      <w:szCs w:val="18"/>
                    </w:rPr>
                    <w:t>轻伤事故少于3起/年；</w:t>
                  </w:r>
                </w:p>
                <w:p>
                  <w:pPr>
                    <w:spacing w:line="380" w:lineRule="exact"/>
                    <w:rPr>
                      <w:rFonts w:hint="eastAsia"/>
                      <w:sz w:val="18"/>
                      <w:szCs w:val="18"/>
                    </w:rPr>
                  </w:pPr>
                  <w:r>
                    <w:rPr>
                      <w:rFonts w:hint="eastAsia"/>
                      <w:sz w:val="18"/>
                      <w:szCs w:val="18"/>
                    </w:rPr>
                    <w:t>无火灾及重大安全事故发生。</w:t>
                  </w:r>
                </w:p>
                <w:p>
                  <w:pPr>
                    <w:spacing w:line="380" w:lineRule="exact"/>
                    <w:rPr>
                      <w:rFonts w:hint="eastAsia"/>
                      <w:sz w:val="18"/>
                      <w:szCs w:val="18"/>
                    </w:rPr>
                  </w:pPr>
                  <w:r>
                    <w:rPr>
                      <w:rFonts w:hint="eastAsia"/>
                      <w:sz w:val="18"/>
                      <w:szCs w:val="18"/>
                    </w:rPr>
                    <w:t>2、各部门分解目标；</w:t>
                  </w:r>
                </w:p>
                <w:p>
                  <w:pPr>
                    <w:spacing w:line="380" w:lineRule="exact"/>
                    <w:rPr>
                      <w:rFonts w:hint="eastAsia"/>
                      <w:sz w:val="18"/>
                      <w:szCs w:val="18"/>
                    </w:rPr>
                  </w:pPr>
                  <w:r>
                    <w:rPr>
                      <w:rFonts w:hint="eastAsia"/>
                      <w:sz w:val="18"/>
                      <w:szCs w:val="18"/>
                    </w:rPr>
                    <w:t>3、目标指标方案。</w:t>
                  </w:r>
                </w:p>
              </w:tc>
            </w:tr>
            <w:tr>
              <w:tblPrEx>
                <w:tblCellMar>
                  <w:top w:w="0" w:type="dxa"/>
                  <w:left w:w="108" w:type="dxa"/>
                  <w:bottom w:w="0" w:type="dxa"/>
                  <w:right w:w="108" w:type="dxa"/>
                </w:tblCellMar>
              </w:tblPrEx>
              <w:trPr>
                <w:cantSplit/>
                <w:trHeight w:val="1344" w:hRule="atLeast"/>
              </w:trPr>
              <w:tc>
                <w:tcPr>
                  <w:tcW w:w="2291" w:type="dxa"/>
                  <w:vAlign w:val="center"/>
                </w:tcPr>
                <w:p>
                  <w:pPr>
                    <w:jc w:val="center"/>
                    <w:rPr>
                      <w:sz w:val="18"/>
                      <w:szCs w:val="18"/>
                    </w:rPr>
                  </w:pPr>
                  <w:r>
                    <w:rPr>
                      <w:rFonts w:hint="eastAsia"/>
                      <w:sz w:val="18"/>
                      <w:szCs w:val="18"/>
                    </w:rPr>
                    <w:t>考核评价情况</w:t>
                  </w:r>
                </w:p>
              </w:tc>
              <w:tc>
                <w:tcPr>
                  <w:tcW w:w="6874" w:type="dxa"/>
                  <w:gridSpan w:val="3"/>
                </w:tcPr>
                <w:p>
                  <w:pPr>
                    <w:rPr>
                      <w:sz w:val="18"/>
                      <w:szCs w:val="18"/>
                    </w:rPr>
                  </w:pPr>
                  <w:r>
                    <w:rPr>
                      <w:rFonts w:hint="eastAsia"/>
                      <w:sz w:val="18"/>
                      <w:szCs w:val="18"/>
                    </w:rPr>
                    <w:t>经过培训讲解，提问、交流等形式进行评价，培训效果良好，达到了预期目的。</w:t>
                  </w:r>
                </w:p>
                <w:p>
                  <w:pPr>
                    <w:rPr>
                      <w:sz w:val="18"/>
                      <w:szCs w:val="18"/>
                    </w:rPr>
                  </w:pPr>
                </w:p>
                <w:p>
                  <w:pPr>
                    <w:rPr>
                      <w:sz w:val="18"/>
                      <w:szCs w:val="18"/>
                    </w:rPr>
                  </w:pPr>
                </w:p>
                <w:p>
                  <w:pPr>
                    <w:ind w:firstLine="810" w:firstLineChars="450"/>
                    <w:jc w:val="right"/>
                    <w:rPr>
                      <w:sz w:val="18"/>
                      <w:szCs w:val="18"/>
                    </w:rPr>
                  </w:pPr>
                  <w:r>
                    <w:rPr>
                      <w:rFonts w:hint="eastAsia"/>
                      <w:sz w:val="18"/>
                      <w:szCs w:val="18"/>
                    </w:rPr>
                    <w:t>评价人：苏立苑2020-7-15</w:t>
                  </w:r>
                </w:p>
              </w:tc>
            </w:tr>
          </w:tbl>
          <w:p>
            <w:r>
              <w:rPr>
                <w:rFonts w:hint="eastAsia"/>
              </w:rPr>
              <w:t>查本公司人员稳定，无新进员工，无新员工三级教育培训记录</w:t>
            </w:r>
          </w:p>
          <w:p>
            <w:pPr>
              <w:pStyle w:val="12"/>
              <w:ind w:firstLine="400"/>
            </w:pPr>
          </w:p>
          <w:p>
            <w:pPr>
              <w:pStyle w:val="12"/>
              <w:rPr>
                <w:color w:val="0C0C0C"/>
                <w:szCs w:val="21"/>
              </w:rPr>
            </w:pPr>
            <w:r>
              <w:rPr>
                <w:rFonts w:hint="eastAsia"/>
                <w:color w:val="0C0C0C"/>
                <w:szCs w:val="21"/>
              </w:rPr>
              <w:t>人力资源控制基本满足要求。</w:t>
            </w:r>
          </w:p>
          <w:p>
            <w:pPr>
              <w:pStyle w:val="12"/>
              <w:rPr>
                <w:rFonts w:ascii="Arial" w:hAnsi="Arial" w:cs="Arial"/>
                <w:bCs w:val="0"/>
                <w:color w:val="333333"/>
                <w:spacing w:val="0"/>
                <w:shd w:val="clear" w:color="auto" w:fill="FFFFFF"/>
              </w:rPr>
            </w:pP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2160" w:type="dxa"/>
            <w:vAlign w:val="center"/>
          </w:tcPr>
          <w:p>
            <w:r>
              <w:rPr>
                <w:rFonts w:hint="eastAsia"/>
                <w:szCs w:val="21"/>
              </w:rPr>
              <w:t>意识</w:t>
            </w:r>
          </w:p>
        </w:tc>
        <w:tc>
          <w:tcPr>
            <w:tcW w:w="960" w:type="dxa"/>
            <w:vAlign w:val="center"/>
          </w:tcPr>
          <w:p>
            <w:pPr>
              <w:rPr>
                <w:szCs w:val="21"/>
              </w:rPr>
            </w:pPr>
            <w:r>
              <w:rPr>
                <w:rFonts w:hint="eastAsia"/>
                <w:szCs w:val="21"/>
              </w:rPr>
              <w:t>O7.3</w:t>
            </w:r>
          </w:p>
          <w:p/>
        </w:tc>
        <w:tc>
          <w:tcPr>
            <w:tcW w:w="10694" w:type="dxa"/>
            <w:vAlign w:val="center"/>
          </w:tcPr>
          <w:p/>
          <w:p>
            <w:pPr>
              <w:ind w:firstLine="420" w:firstLineChars="200"/>
              <w:rPr>
                <w:szCs w:val="21"/>
              </w:rPr>
            </w:pPr>
            <w:r>
              <w:rPr>
                <w:rFonts w:hint="eastAsia"/>
              </w:rPr>
              <w:t>主要通过培训提高岗位作业水平及质量和环境、安全意识，明确各岗位要求，销售人员、技术人员、生产人员</w:t>
            </w:r>
            <w:r>
              <w:rPr>
                <w:rFonts w:hint="eastAsia"/>
                <w:szCs w:val="21"/>
              </w:rPr>
              <w:t>及办公人员自身工作对环境、安全目标的影响，以及如何通过培训和互相交流提高环境绩效，不符合质量管理体系要求的后果等。</w:t>
            </w:r>
          </w:p>
          <w:p>
            <w:pPr>
              <w:pStyle w:val="12"/>
            </w:pPr>
            <w:r>
              <w:rPr>
                <w:rFonts w:hint="eastAsia"/>
                <w:szCs w:val="21"/>
              </w:rPr>
              <w:t>询问办公室人员，清楚与其相关的职业健康安全风险。</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jc w:val="center"/>
        </w:trPr>
        <w:tc>
          <w:tcPr>
            <w:tcW w:w="2160" w:type="dxa"/>
            <w:vAlign w:val="center"/>
          </w:tcPr>
          <w:p>
            <w:r>
              <w:rPr>
                <w:rFonts w:hint="eastAsia"/>
                <w:szCs w:val="21"/>
              </w:rPr>
              <w:t>沟通、参与和协商</w:t>
            </w:r>
          </w:p>
        </w:tc>
        <w:tc>
          <w:tcPr>
            <w:tcW w:w="960" w:type="dxa"/>
            <w:vAlign w:val="center"/>
          </w:tcPr>
          <w:p>
            <w:pPr>
              <w:rPr>
                <w:szCs w:val="21"/>
              </w:rPr>
            </w:pPr>
            <w:r>
              <w:rPr>
                <w:rFonts w:hint="eastAsia"/>
                <w:szCs w:val="21"/>
              </w:rPr>
              <w:t>QEO7.4</w:t>
            </w:r>
          </w:p>
          <w:p>
            <w:pPr>
              <w:pStyle w:val="12"/>
            </w:pPr>
          </w:p>
        </w:tc>
        <w:tc>
          <w:tcPr>
            <w:tcW w:w="10694" w:type="dxa"/>
            <w:vAlign w:val="center"/>
          </w:tcPr>
          <w:p>
            <w:pPr>
              <w:ind w:firstLine="420" w:firstLineChars="200"/>
              <w:rPr>
                <w:szCs w:val="21"/>
              </w:rPr>
            </w:pPr>
          </w:p>
          <w:p>
            <w:pPr>
              <w:ind w:firstLine="420" w:firstLineChars="200"/>
              <w:rPr>
                <w:szCs w:val="21"/>
              </w:rPr>
            </w:pPr>
            <w:r>
              <w:rPr>
                <w:rFonts w:hint="eastAsia"/>
                <w:szCs w:val="21"/>
              </w:rPr>
              <w:t>策划编制的程序文件HBHP-B0</w:t>
            </w:r>
            <w:r>
              <w:rPr>
                <w:szCs w:val="21"/>
              </w:rPr>
              <w:t>4</w:t>
            </w:r>
            <w:r>
              <w:rPr>
                <w:rFonts w:hint="eastAsia"/>
                <w:szCs w:val="21"/>
              </w:rPr>
              <w:t>-2020</w:t>
            </w:r>
            <w:r>
              <w:rPr>
                <w:szCs w:val="21"/>
              </w:rPr>
              <w:t>《</w:t>
            </w:r>
            <w:r>
              <w:rPr>
                <w:rFonts w:hint="eastAsia"/>
                <w:szCs w:val="21"/>
              </w:rPr>
              <w:t>信息交流控制程序</w:t>
            </w:r>
            <w:r>
              <w:rPr>
                <w:szCs w:val="21"/>
              </w:rPr>
              <w:t>》</w:t>
            </w:r>
            <w:r>
              <w:rPr>
                <w:rFonts w:hint="eastAsia"/>
                <w:szCs w:val="21"/>
              </w:rPr>
              <w:t>及管理手册的相关章节规定了企业内、外部沟通和员工就职业健康安全事务参与、协商的要求，经查阅和交谈符合标准要求。</w:t>
            </w:r>
          </w:p>
          <w:p>
            <w:pPr>
              <w:ind w:firstLine="420" w:firstLineChars="200"/>
              <w:rPr>
                <w:szCs w:val="21"/>
              </w:rPr>
            </w:pPr>
            <w:r>
              <w:rPr>
                <w:rFonts w:hint="eastAsia"/>
                <w:szCs w:val="21"/>
              </w:rPr>
              <w:t>总经理负责在公司建立畅通的沟通渠道。管理者代表是公司内部和外部信息交流和沟通的负责人。办公室是公司内部和外部信息交流和协商的归口部门。负责与上级主管部门及周边单位的信息交流；负责与管理体系、法律法规等有关的内部和外部信息交流；负责与采购供方、客户等相关方之间的沟通。各部门收集到有关职业健康安全方面的信息，包括法律法规等，及时向办公室反馈。供销部负责顾客要求方面的有关事宜的沟通。</w:t>
            </w:r>
          </w:p>
          <w:p>
            <w:pPr>
              <w:ind w:firstLine="420" w:firstLineChars="200"/>
              <w:rPr>
                <w:szCs w:val="21"/>
              </w:rPr>
            </w:pPr>
            <w:r>
              <w:rPr>
                <w:rFonts w:hint="eastAsia"/>
                <w:szCs w:val="21"/>
              </w:rPr>
              <w:t>目前各项沟通都较为及时、顺畅、效果较好。</w:t>
            </w:r>
          </w:p>
          <w:p>
            <w:pPr>
              <w:ind w:firstLine="420" w:firstLineChars="200"/>
            </w:pP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jc w:val="center"/>
        </w:trPr>
        <w:tc>
          <w:tcPr>
            <w:tcW w:w="2160" w:type="dxa"/>
            <w:vAlign w:val="center"/>
          </w:tcPr>
          <w:p>
            <w:r>
              <w:rPr>
                <w:rFonts w:hint="eastAsia"/>
                <w:szCs w:val="21"/>
              </w:rPr>
              <w:t>组织的知识、文件化信息</w:t>
            </w:r>
          </w:p>
        </w:tc>
        <w:tc>
          <w:tcPr>
            <w:tcW w:w="960" w:type="dxa"/>
            <w:vAlign w:val="center"/>
          </w:tcPr>
          <w:p>
            <w:pPr>
              <w:rPr>
                <w:szCs w:val="21"/>
              </w:rPr>
            </w:pPr>
            <w:r>
              <w:rPr>
                <w:rFonts w:hint="eastAsia"/>
                <w:szCs w:val="21"/>
              </w:rPr>
              <w:t>Q7.1.6</w:t>
            </w:r>
          </w:p>
          <w:p>
            <w:pPr>
              <w:pStyle w:val="12"/>
              <w:rPr>
                <w:bCs w:val="0"/>
                <w:spacing w:val="0"/>
                <w:szCs w:val="21"/>
              </w:rPr>
            </w:pPr>
            <w:r>
              <w:rPr>
                <w:bCs w:val="0"/>
                <w:spacing w:val="0"/>
                <w:szCs w:val="21"/>
              </w:rPr>
              <w:t>E</w:t>
            </w:r>
            <w:r>
              <w:rPr>
                <w:rFonts w:hint="eastAsia"/>
                <w:bCs w:val="0"/>
                <w:spacing w:val="0"/>
                <w:szCs w:val="21"/>
              </w:rPr>
              <w:t>O</w:t>
            </w:r>
            <w:r>
              <w:rPr>
                <w:bCs w:val="0"/>
                <w:spacing w:val="0"/>
                <w:szCs w:val="21"/>
              </w:rPr>
              <w:t>7.1</w:t>
            </w:r>
          </w:p>
          <w:p>
            <w:pPr>
              <w:rPr>
                <w:szCs w:val="21"/>
              </w:rPr>
            </w:pPr>
            <w:r>
              <w:rPr>
                <w:rFonts w:hint="eastAsia"/>
                <w:szCs w:val="21"/>
              </w:rPr>
              <w:t>QEO7.5</w:t>
            </w:r>
          </w:p>
          <w:p>
            <w:pPr>
              <w:pStyle w:val="12"/>
            </w:pPr>
          </w:p>
        </w:tc>
        <w:tc>
          <w:tcPr>
            <w:tcW w:w="10694" w:type="dxa"/>
            <w:vAlign w:val="center"/>
          </w:tcPr>
          <w:p>
            <w:pPr>
              <w:ind w:firstLine="420" w:firstLineChars="200"/>
              <w:rPr>
                <w:color w:val="000000" w:themeColor="text1"/>
              </w:rPr>
            </w:pPr>
            <w:r>
              <w:rPr>
                <w:rFonts w:hint="eastAsia"/>
                <w:color w:val="000000" w:themeColor="text1"/>
              </w:rPr>
              <w:t>受审核方建立的管理体系文件包括：</w:t>
            </w:r>
          </w:p>
          <w:p>
            <w:pPr>
              <w:numPr>
                <w:ilvl w:val="0"/>
                <w:numId w:val="2"/>
              </w:numPr>
              <w:rPr>
                <w:rFonts w:asciiTheme="minorEastAsia" w:hAnsiTheme="minorEastAsia" w:eastAsiaTheme="minorEastAsia" w:cstheme="minorEastAsia"/>
                <w:color w:val="000000" w:themeColor="text1"/>
                <w:szCs w:val="21"/>
              </w:rPr>
            </w:pPr>
            <w:r>
              <w:rPr>
                <w:rFonts w:hint="eastAsia"/>
                <w:color w:val="000000" w:themeColor="text1"/>
              </w:rPr>
              <w:t>管理手册</w:t>
            </w:r>
            <w:r>
              <w:rPr>
                <w:rFonts w:hint="eastAsia" w:ascii="宋体" w:hAnsi="宋体" w:cs="宋体"/>
                <w:color w:val="000000"/>
                <w:szCs w:val="21"/>
              </w:rPr>
              <w:t>HBHP</w:t>
            </w:r>
            <w:r>
              <w:rPr>
                <w:rFonts w:ascii="宋体" w:hAnsi="宋体" w:cs="宋体"/>
                <w:color w:val="000000"/>
                <w:szCs w:val="21"/>
              </w:rPr>
              <w:t>-</w:t>
            </w:r>
            <w:r>
              <w:rPr>
                <w:rFonts w:hint="eastAsia" w:ascii="宋体" w:hAnsi="宋体" w:cs="宋体"/>
                <w:color w:val="000000"/>
                <w:szCs w:val="21"/>
              </w:rPr>
              <w:t>SC</w:t>
            </w:r>
            <w:r>
              <w:rPr>
                <w:rFonts w:ascii="宋体" w:hAnsi="宋体" w:cs="宋体"/>
                <w:color w:val="000000"/>
                <w:szCs w:val="21"/>
              </w:rPr>
              <w:t>-20</w:t>
            </w:r>
            <w:r>
              <w:rPr>
                <w:rFonts w:hint="eastAsia" w:ascii="宋体" w:hAnsi="宋体" w:cs="宋体"/>
                <w:color w:val="000000"/>
                <w:szCs w:val="21"/>
              </w:rPr>
              <w:t>20</w:t>
            </w:r>
            <w:r>
              <w:rPr>
                <w:rFonts w:hint="eastAsia" w:asciiTheme="minorEastAsia" w:hAnsiTheme="minorEastAsia" w:eastAsiaTheme="minorEastAsia" w:cstheme="minorEastAsia"/>
                <w:color w:val="000000" w:themeColor="text1"/>
                <w:szCs w:val="21"/>
              </w:rPr>
              <w:t xml:space="preserve">  B/</w:t>
            </w:r>
            <w:r>
              <w:rPr>
                <w:rFonts w:asciiTheme="minorEastAsia" w:hAnsiTheme="minorEastAsia" w:eastAsiaTheme="minorEastAsia" w:cstheme="minorEastAsia"/>
                <w:color w:val="000000" w:themeColor="text1"/>
                <w:szCs w:val="21"/>
              </w:rPr>
              <w:t>0</w:t>
            </w:r>
            <w:r>
              <w:rPr>
                <w:rFonts w:hint="eastAsia" w:asciiTheme="minorEastAsia" w:hAnsiTheme="minorEastAsia" w:eastAsiaTheme="minorEastAsia" w:cstheme="minorEastAsia"/>
                <w:color w:val="000000" w:themeColor="text1"/>
                <w:szCs w:val="21"/>
              </w:rPr>
              <w:t>版，发布时间：2020年01月01日    实施时间：2020年01月01日</w:t>
            </w:r>
          </w:p>
          <w:p>
            <w:pPr>
              <w:rPr>
                <w:rFonts w:ascii="仿宋" w:hAnsi="仿宋" w:eastAsia="仿宋"/>
                <w:b/>
                <w:bCs/>
                <w:sz w:val="24"/>
              </w:rPr>
            </w:pPr>
            <w:r>
              <w:rPr>
                <w:rFonts w:hint="eastAsia" w:asciiTheme="minorEastAsia" w:hAnsiTheme="minorEastAsia" w:eastAsiaTheme="minorEastAsia" w:cstheme="minorEastAsia"/>
                <w:color w:val="000000" w:themeColor="text1"/>
                <w:szCs w:val="21"/>
              </w:rPr>
              <w:t>2.程序文件</w:t>
            </w:r>
            <w:bookmarkStart w:id="0" w:name="_GoBack"/>
            <w:r>
              <w:rPr>
                <w:rFonts w:hint="eastAsia" w:asciiTheme="minorEastAsia" w:hAnsiTheme="minorEastAsia" w:eastAsiaTheme="minorEastAsia" w:cstheme="minorEastAsia"/>
                <w:color w:val="000000" w:themeColor="text1"/>
                <w:szCs w:val="21"/>
              </w:rPr>
              <w:t>HBHP-B01-23-2020 B/0</w:t>
            </w:r>
            <w:bookmarkEnd w:id="0"/>
            <w:r>
              <w:rPr>
                <w:rFonts w:hint="eastAsia" w:asciiTheme="minorEastAsia" w:hAnsiTheme="minorEastAsia" w:eastAsiaTheme="minorEastAsia" w:cstheme="minorEastAsia"/>
                <w:color w:val="000000" w:themeColor="text1"/>
                <w:szCs w:val="21"/>
              </w:rPr>
              <w:t>版</w:t>
            </w:r>
            <w:r>
              <w:rPr>
                <w:rFonts w:hint="eastAsia" w:asciiTheme="minorEastAsia" w:hAnsiTheme="minorEastAsia" w:eastAsiaTheme="minorEastAsia" w:cstheme="minorEastAsia"/>
                <w:color w:val="000000" w:themeColor="text1"/>
                <w:szCs w:val="21"/>
              </w:rPr>
              <w:t>含23个文件，包括标准要求的形成文件的信息。</w:t>
            </w:r>
          </w:p>
          <w:p>
            <w:pPr>
              <w:pStyle w:val="4"/>
              <w:tabs>
                <w:tab w:val="left" w:pos="3300"/>
                <w:tab w:val="left" w:pos="5160"/>
                <w:tab w:val="clear" w:pos="3510"/>
                <w:tab w:val="clear" w:pos="5580"/>
              </w:tabs>
              <w:rPr>
                <w:rFonts w:asciiTheme="minorEastAsia" w:hAnsiTheme="minorEastAsia" w:eastAsiaTheme="minorEastAsia" w:cstheme="minorEastAsia"/>
                <w:b w:val="0"/>
                <w:bCs w:val="0"/>
                <w:color w:val="000000" w:themeColor="text1"/>
                <w:sz w:val="21"/>
                <w:szCs w:val="21"/>
              </w:rPr>
            </w:pPr>
            <w:r>
              <w:rPr>
                <w:rFonts w:hint="eastAsia" w:asciiTheme="minorEastAsia" w:hAnsiTheme="minorEastAsia" w:eastAsiaTheme="minorEastAsia" w:cstheme="minorEastAsia"/>
                <w:b w:val="0"/>
                <w:bCs w:val="0"/>
                <w:color w:val="000000" w:themeColor="text1"/>
                <w:sz w:val="21"/>
                <w:szCs w:val="21"/>
              </w:rPr>
              <w:t>3.管理制度汇编：</w:t>
            </w:r>
            <w:r>
              <w:rPr>
                <w:rFonts w:hint="eastAsia" w:asciiTheme="minorEastAsia" w:hAnsiTheme="minorEastAsia" w:eastAsiaTheme="minorEastAsia" w:cstheme="minorEastAsia"/>
                <w:b w:val="0"/>
                <w:color w:val="000000" w:themeColor="text1"/>
                <w:sz w:val="21"/>
                <w:szCs w:val="21"/>
              </w:rPr>
              <w:t>安全操作规程、安全生产管理制度等15个管理制度</w:t>
            </w:r>
          </w:p>
          <w:p>
            <w:pP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4.体系运行所需要的文件和记录</w:t>
            </w:r>
          </w:p>
          <w:p>
            <w:pPr>
              <w:ind w:firstLine="420" w:firstLineChars="200"/>
            </w:pPr>
            <w:r>
              <w:rPr>
                <w:rFonts w:hint="eastAsia"/>
              </w:rPr>
              <w:t>编制了《文件控制程序》《记录控制程序》用于对管理体系文件，符合标准要求。</w:t>
            </w:r>
          </w:p>
          <w:p>
            <w:pPr>
              <w:ind w:firstLine="420" w:firstLineChars="200"/>
            </w:pPr>
            <w:r>
              <w:rPr>
                <w:rFonts w:hint="eastAsia"/>
              </w:rPr>
              <w:t>查办公室管理手册、管理制度等文件均保管良好，为有效版本，有受控标识。</w:t>
            </w:r>
          </w:p>
          <w:p>
            <w:pPr>
              <w:ind w:firstLine="420" w:firstLineChars="200"/>
            </w:pPr>
            <w:r>
              <w:rPr>
                <w:rFonts w:hint="eastAsia"/>
              </w:rPr>
              <w:t>办公室负责收集有关产品的国家标准、行业标准的最新版本，分发到相关部门使用；收回旧标准。</w:t>
            </w:r>
          </w:p>
          <w:p>
            <w:pPr>
              <w:ind w:firstLine="420" w:firstLineChars="200"/>
            </w:pPr>
            <w:r>
              <w:rPr>
                <w:rFonts w:hint="eastAsia"/>
              </w:rPr>
              <w:t>查见《适用的法律法规及其他要求清单》，内容包括：序号、文件名称、编号、版本等，收集基本全面，基本符合。</w:t>
            </w:r>
          </w:p>
          <w:p>
            <w:r>
              <w:rPr>
                <w:rFonts w:hint="eastAsia"/>
              </w:rPr>
              <w:t>以上外来文件保管良好，均为有效版本。</w:t>
            </w:r>
          </w:p>
          <w:p>
            <w:pPr>
              <w:ind w:firstLine="420" w:firstLineChars="200"/>
            </w:pPr>
            <w:r>
              <w:rPr>
                <w:rFonts w:hint="eastAsia"/>
              </w:rPr>
              <w:t>查见《记录清单》，内容包括：序号、记录名称、编号、保存期、使用部门等。</w:t>
            </w:r>
          </w:p>
          <w:p>
            <w:pPr>
              <w:ind w:firstLine="420" w:firstLineChars="200"/>
            </w:pPr>
            <w:r>
              <w:rPr>
                <w:rFonts w:hint="eastAsia"/>
              </w:rPr>
              <w:t>共登记有</w:t>
            </w:r>
            <w:r>
              <w:t>不符合项报告</w:t>
            </w:r>
            <w:r>
              <w:rPr>
                <w:rFonts w:hint="eastAsia"/>
              </w:rPr>
              <w:t>、</w:t>
            </w:r>
            <w:r>
              <w:t>顾客满意程度调查表</w:t>
            </w:r>
            <w:r>
              <w:rPr>
                <w:rFonts w:hint="eastAsia"/>
              </w:rPr>
              <w:t>、</w:t>
            </w:r>
            <w:r>
              <w:t>文件发放回收记录</w:t>
            </w:r>
            <w:r>
              <w:rPr>
                <w:rFonts w:hint="eastAsia"/>
              </w:rPr>
              <w:t>、外来文件清单、培训记录表、环境因素清单等。</w:t>
            </w:r>
          </w:p>
          <w:p>
            <w:pPr>
              <w:ind w:firstLine="420" w:firstLineChars="200"/>
            </w:pPr>
            <w:r>
              <w:rPr>
                <w:rFonts w:hint="eastAsia"/>
              </w:rPr>
              <w:t>保存期限分别为三年和长期。</w:t>
            </w:r>
          </w:p>
          <w:p>
            <w:pPr>
              <w:ind w:firstLine="420" w:firstLineChars="200"/>
            </w:pPr>
            <w:r>
              <w:rPr>
                <w:rFonts w:hint="eastAsia"/>
              </w:rPr>
              <w:t>抽查办公室办文件发放登记表、培训记录表、受控文件清单，固体废弃物处置记录，填写及保管符合要求。</w:t>
            </w:r>
            <w:r>
              <w:rPr>
                <w:rFonts w:hint="eastAsia"/>
              </w:rPr>
              <w:br w:type="textWrapping"/>
            </w:r>
            <w:r>
              <w:rPr>
                <w:rFonts w:hint="eastAsia"/>
              </w:rPr>
              <w:t>各部门保存各记录，按时间整理，放置在文件柜中，以便检索，办公室定期对其进行检查，目前保存完好。名称，编号构成记录的唯一性标识。</w:t>
            </w:r>
          </w:p>
          <w:p>
            <w:pPr>
              <w:ind w:firstLine="420" w:firstLineChars="200"/>
            </w:pPr>
            <w:r>
              <w:rPr>
                <w:rFonts w:hint="eastAsia"/>
              </w:rPr>
              <w:t>介绍：尚未有销毁记录，若有由办公室组织进行。</w:t>
            </w:r>
          </w:p>
          <w:p>
            <w:r>
              <w:rPr>
                <w:rFonts w:hint="eastAsia"/>
              </w:rPr>
              <w:t>查到公司建立、运行质量/环境/职业健康安全管理体系过程中涉及到的所有信息均为组织知识，公司的组织知识以纸质文件、电子文档方式保存，各部门负责本部门职能范围内知识的管理，办公室负责其余知识的管理控制。</w:t>
            </w:r>
          </w:p>
          <w:p>
            <w:r>
              <w:rPr>
                <w:rFonts w:hint="eastAsia"/>
              </w:rPr>
              <w:t>办公室负责在公司内部建立QQ工作群、微信工作组、公司网页以及实行培训、教育等活动以实现知识共享、传递的目的。</w:t>
            </w:r>
          </w:p>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160" w:type="dxa"/>
            <w:vAlign w:val="center"/>
          </w:tcPr>
          <w:p>
            <w:pPr>
              <w:rPr>
                <w:rFonts w:asciiTheme="minorEastAsia" w:hAnsiTheme="minorEastAsia" w:eastAsiaTheme="minorEastAsia" w:cstheme="minorEastAsia"/>
              </w:rPr>
            </w:pPr>
            <w:r>
              <w:rPr>
                <w:rFonts w:hint="eastAsia" w:asciiTheme="minorEastAsia" w:hAnsiTheme="minorEastAsia" w:eastAsiaTheme="minorEastAsia" w:cstheme="minorEastAsia"/>
                <w:szCs w:val="21"/>
              </w:rPr>
              <w:t>应急准备和响应</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O8.2</w:t>
            </w:r>
          </w:p>
          <w:p>
            <w:pPr>
              <w:rPr>
                <w:rFonts w:asciiTheme="minorEastAsia" w:hAnsiTheme="minorEastAsia" w:eastAsiaTheme="minorEastAsia" w:cstheme="minorEastAsia"/>
              </w:rPr>
            </w:pPr>
          </w:p>
        </w:tc>
        <w:tc>
          <w:tcPr>
            <w:tcW w:w="10694" w:type="dxa"/>
            <w:vAlign w:val="center"/>
          </w:tcPr>
          <w:p>
            <w:pPr>
              <w:ind w:firstLine="420" w:firstLineChars="200"/>
              <w:rPr>
                <w:rFonts w:ascii="宋体" w:hAnsi="宋体" w:cs="宋体"/>
                <w:bCs/>
                <w:szCs w:val="21"/>
              </w:rPr>
            </w:pPr>
            <w:r>
              <w:rPr>
                <w:rFonts w:hint="eastAsia" w:ascii="宋体" w:hAnsi="宋体" w:cs="宋体"/>
                <w:bCs/>
                <w:szCs w:val="21"/>
              </w:rPr>
              <w:t>制定了HBHP-B14-2020《应急准备与响应管理程序》，包含有事件级别及不同级别事件的处理程序、事件处理组织机构及职责分工、通用及特殊处理程序、各岗位要求等。具有可操作性。</w:t>
            </w:r>
          </w:p>
          <w:p>
            <w:pPr>
              <w:ind w:firstLine="420" w:firstLineChars="200"/>
              <w:rPr>
                <w:rFonts w:ascii="宋体" w:hAnsi="宋体" w:cs="宋体"/>
                <w:bCs/>
                <w:szCs w:val="21"/>
              </w:rPr>
            </w:pPr>
            <w:r>
              <w:rPr>
                <w:rFonts w:hint="eastAsia" w:ascii="宋体" w:hAnsi="宋体" w:cs="宋体"/>
                <w:bCs/>
                <w:szCs w:val="21"/>
              </w:rPr>
              <w:t xml:space="preserve">抽查火灾和触电应急预案，包括因触电而受伤的伤员救治等情况，规定应急预案和应急计划确立后，经过有效的培训，公司人员每年演练一次。或根据情况不定期举行演练，办公作业人员变动较大时增加演练次数。每次演练结束，及时作出总结，对存有一定差距的在日后的工作中加以提高。 </w:t>
            </w:r>
          </w:p>
          <w:p>
            <w:pPr>
              <w:ind w:firstLine="420" w:firstLineChars="200"/>
              <w:rPr>
                <w:rFonts w:ascii="宋体" w:hAnsi="宋体" w:cs="宋体"/>
                <w:bCs/>
                <w:szCs w:val="21"/>
              </w:rPr>
            </w:pPr>
            <w:r>
              <w:rPr>
                <w:rFonts w:hint="eastAsia" w:ascii="宋体" w:hAnsi="宋体" w:cs="宋体"/>
                <w:bCs/>
                <w:szCs w:val="21"/>
              </w:rPr>
              <w:t>抽查触电应急救援事故演练</w:t>
            </w:r>
          </w:p>
          <w:p>
            <w:pPr>
              <w:ind w:firstLine="570"/>
              <w:rPr>
                <w:rFonts w:hint="eastAsia" w:ascii="宋体" w:hAnsi="宋体" w:cs="宋体"/>
                <w:bCs/>
                <w:szCs w:val="21"/>
              </w:rPr>
            </w:pPr>
            <w:r>
              <w:rPr>
                <w:rFonts w:hint="eastAsia" w:ascii="宋体" w:hAnsi="宋体" w:cs="宋体"/>
                <w:bCs/>
                <w:szCs w:val="21"/>
              </w:rPr>
              <w:t>一、时间：2020年2月15日</w:t>
            </w:r>
          </w:p>
          <w:p>
            <w:pPr>
              <w:ind w:firstLine="570"/>
              <w:rPr>
                <w:rFonts w:hint="eastAsia" w:ascii="宋体" w:hAnsi="宋体" w:cs="宋体"/>
                <w:bCs/>
                <w:szCs w:val="21"/>
              </w:rPr>
            </w:pPr>
            <w:r>
              <w:rPr>
                <w:rFonts w:hint="eastAsia" w:ascii="宋体" w:hAnsi="宋体" w:cs="宋体"/>
                <w:bCs/>
                <w:szCs w:val="21"/>
              </w:rPr>
              <w:t>二、地点：生产车间</w:t>
            </w:r>
          </w:p>
          <w:p>
            <w:pPr>
              <w:ind w:firstLine="570"/>
              <w:rPr>
                <w:rFonts w:hint="eastAsia" w:ascii="宋体" w:hAnsi="宋体" w:cs="宋体"/>
                <w:bCs/>
                <w:szCs w:val="21"/>
              </w:rPr>
            </w:pPr>
            <w:r>
              <w:rPr>
                <w:rFonts w:hint="eastAsia" w:ascii="宋体" w:hAnsi="宋体" w:cs="宋体"/>
                <w:bCs/>
                <w:szCs w:val="21"/>
              </w:rPr>
              <w:t>三、目的：为了提高员工反应速度和应急救援时应变能力。使员工熟练掌握接报警和触电自救技能以及和其它部门的协调配合能力，确保施工临时用电的安全。</w:t>
            </w:r>
          </w:p>
          <w:p>
            <w:pPr>
              <w:ind w:firstLine="570"/>
              <w:jc w:val="left"/>
              <w:rPr>
                <w:rFonts w:hint="eastAsia" w:ascii="宋体" w:hAnsi="宋体" w:cs="宋体"/>
                <w:bCs/>
                <w:szCs w:val="21"/>
              </w:rPr>
            </w:pPr>
            <w:r>
              <w:rPr>
                <w:rFonts w:hint="eastAsia" w:ascii="宋体" w:hAnsi="宋体" w:cs="宋体"/>
                <w:bCs/>
                <w:szCs w:val="21"/>
              </w:rPr>
              <w:t>四、应急救援组织</w:t>
            </w:r>
          </w:p>
          <w:p>
            <w:pPr>
              <w:ind w:firstLine="570"/>
              <w:jc w:val="left"/>
              <w:rPr>
                <w:rFonts w:hint="eastAsia" w:ascii="宋体" w:hAnsi="宋体" w:cs="宋体"/>
                <w:bCs/>
                <w:szCs w:val="21"/>
              </w:rPr>
            </w:pPr>
            <w:r>
              <w:rPr>
                <w:rFonts w:hint="eastAsia" w:ascii="宋体" w:hAnsi="宋体" w:cs="宋体"/>
                <w:bCs/>
                <w:szCs w:val="21"/>
              </w:rPr>
              <w:t>应急救援指挥部：</w:t>
            </w:r>
          </w:p>
          <w:p>
            <w:pPr>
              <w:ind w:firstLine="570"/>
              <w:jc w:val="left"/>
              <w:rPr>
                <w:rFonts w:hint="eastAsia" w:ascii="宋体" w:hAnsi="宋体" w:cs="宋体"/>
                <w:bCs/>
                <w:szCs w:val="21"/>
              </w:rPr>
            </w:pPr>
            <w:r>
              <w:rPr>
                <w:rFonts w:hint="eastAsia" w:ascii="宋体" w:hAnsi="宋体" w:cs="宋体"/>
                <w:bCs/>
                <w:szCs w:val="21"/>
              </w:rPr>
              <w:t>总指挥：苏立苑</w:t>
            </w:r>
          </w:p>
          <w:p>
            <w:pPr>
              <w:ind w:firstLine="570"/>
              <w:jc w:val="left"/>
              <w:rPr>
                <w:rFonts w:hint="eastAsia" w:ascii="宋体" w:hAnsi="宋体" w:cs="宋体"/>
                <w:bCs/>
                <w:szCs w:val="21"/>
              </w:rPr>
            </w:pPr>
            <w:r>
              <w:rPr>
                <w:rFonts w:hint="eastAsia" w:ascii="宋体" w:hAnsi="宋体" w:cs="宋体"/>
                <w:bCs/>
                <w:szCs w:val="21"/>
              </w:rPr>
              <w:t>副指挥：苏立楠</w:t>
            </w:r>
          </w:p>
          <w:p>
            <w:pPr>
              <w:ind w:firstLine="570"/>
              <w:jc w:val="left"/>
              <w:rPr>
                <w:rFonts w:hint="eastAsia" w:ascii="宋体" w:hAnsi="宋体" w:cs="宋体"/>
                <w:bCs/>
                <w:szCs w:val="21"/>
              </w:rPr>
            </w:pPr>
            <w:r>
              <w:rPr>
                <w:rFonts w:hint="eastAsia" w:ascii="宋体" w:hAnsi="宋体" w:cs="宋体"/>
                <w:bCs/>
                <w:szCs w:val="21"/>
              </w:rPr>
              <w:t>组员：范红叶、彭建民、张勇、李永波、高晓  演习时间、地点安排：</w:t>
            </w:r>
          </w:p>
          <w:p>
            <w:pPr>
              <w:ind w:firstLine="570"/>
              <w:jc w:val="left"/>
              <w:rPr>
                <w:rFonts w:hint="eastAsia" w:ascii="宋体" w:hAnsi="宋体" w:cs="宋体"/>
                <w:bCs/>
                <w:szCs w:val="21"/>
              </w:rPr>
            </w:pPr>
            <w:r>
              <w:rPr>
                <w:rFonts w:hint="eastAsia" w:ascii="宋体" w:hAnsi="宋体" w:cs="宋体"/>
                <w:bCs/>
                <w:szCs w:val="21"/>
              </w:rPr>
              <w:t>时间：2020年2月15日 下午3:00开始</w:t>
            </w:r>
          </w:p>
          <w:p>
            <w:pPr>
              <w:ind w:firstLine="570"/>
              <w:jc w:val="left"/>
              <w:rPr>
                <w:rFonts w:hint="eastAsia" w:ascii="宋体" w:hAnsi="宋体" w:cs="宋体"/>
                <w:bCs/>
                <w:szCs w:val="21"/>
              </w:rPr>
            </w:pPr>
            <w:r>
              <w:rPr>
                <w:rFonts w:hint="eastAsia" w:ascii="宋体" w:hAnsi="宋体" w:cs="宋体"/>
                <w:bCs/>
                <w:szCs w:val="21"/>
              </w:rPr>
              <w:t>地点：生产车间</w:t>
            </w:r>
          </w:p>
          <w:p>
            <w:pPr>
              <w:ind w:firstLine="570"/>
              <w:jc w:val="left"/>
              <w:rPr>
                <w:rFonts w:hint="eastAsia" w:ascii="宋体" w:hAnsi="宋体" w:cs="宋体"/>
                <w:bCs/>
                <w:szCs w:val="21"/>
              </w:rPr>
            </w:pPr>
            <w:r>
              <w:rPr>
                <w:rFonts w:hint="eastAsia" w:ascii="宋体" w:hAnsi="宋体" w:cs="宋体"/>
                <w:bCs/>
                <w:szCs w:val="21"/>
              </w:rPr>
              <w:t>三、演练程序</w:t>
            </w:r>
          </w:p>
          <w:p>
            <w:pPr>
              <w:ind w:firstLine="570"/>
              <w:jc w:val="left"/>
              <w:rPr>
                <w:rFonts w:hint="eastAsia" w:ascii="宋体" w:hAnsi="宋体" w:cs="宋体"/>
                <w:bCs/>
                <w:szCs w:val="21"/>
              </w:rPr>
            </w:pPr>
            <w:r>
              <w:rPr>
                <w:rFonts w:hint="eastAsia" w:ascii="宋体" w:hAnsi="宋体" w:cs="宋体"/>
                <w:bCs/>
                <w:szCs w:val="21"/>
              </w:rPr>
              <w:t>1、总指挥宣布演练开始。</w:t>
            </w:r>
          </w:p>
          <w:p>
            <w:pPr>
              <w:ind w:firstLine="570"/>
              <w:jc w:val="left"/>
              <w:rPr>
                <w:rFonts w:hint="eastAsia" w:ascii="宋体" w:hAnsi="宋体" w:cs="宋体"/>
                <w:bCs/>
                <w:szCs w:val="21"/>
              </w:rPr>
            </w:pPr>
            <w:r>
              <w:rPr>
                <w:rFonts w:hint="eastAsia" w:ascii="宋体" w:hAnsi="宋体" w:cs="宋体"/>
                <w:bCs/>
                <w:szCs w:val="21"/>
              </w:rPr>
              <w:t>2、安全员 赵春平 向总指挥报告：正在进行机加工作业的1名工人触电倒地，目前以成休克昏迷情况。</w:t>
            </w:r>
          </w:p>
          <w:p>
            <w:pPr>
              <w:ind w:firstLine="570"/>
              <w:jc w:val="left"/>
              <w:rPr>
                <w:rFonts w:hint="eastAsia" w:ascii="宋体" w:hAnsi="宋体" w:cs="宋体"/>
                <w:bCs/>
                <w:szCs w:val="21"/>
              </w:rPr>
            </w:pPr>
            <w:r>
              <w:rPr>
                <w:rFonts w:hint="eastAsia" w:ascii="宋体" w:hAnsi="宋体" w:cs="宋体"/>
                <w:bCs/>
                <w:szCs w:val="21"/>
              </w:rPr>
              <w:t>3、总指挥发布启动应急预案命令。全体应急小组成员到临时指挥点报到听候指示。</w:t>
            </w:r>
          </w:p>
          <w:p>
            <w:pPr>
              <w:ind w:firstLine="570"/>
              <w:jc w:val="left"/>
              <w:rPr>
                <w:rFonts w:hint="eastAsia" w:ascii="宋体" w:hAnsi="宋体" w:cs="宋体"/>
                <w:bCs/>
                <w:szCs w:val="21"/>
              </w:rPr>
            </w:pPr>
            <w:r>
              <w:rPr>
                <w:rFonts w:hint="eastAsia" w:ascii="宋体" w:hAnsi="宋体" w:cs="宋体"/>
                <w:bCs/>
                <w:szCs w:val="21"/>
              </w:rPr>
              <w:t>4、总指挥分派救援任务：</w:t>
            </w:r>
          </w:p>
          <w:p>
            <w:pPr>
              <w:ind w:firstLine="570"/>
              <w:jc w:val="left"/>
              <w:rPr>
                <w:rFonts w:hint="eastAsia" w:ascii="宋体" w:hAnsi="宋体" w:cs="宋体"/>
                <w:bCs/>
                <w:szCs w:val="21"/>
              </w:rPr>
            </w:pPr>
            <w:r>
              <w:rPr>
                <w:rFonts w:hint="eastAsia" w:ascii="宋体" w:hAnsi="宋体" w:cs="宋体"/>
                <w:bCs/>
                <w:szCs w:val="21"/>
              </w:rPr>
              <w:t>（1）立即给触电工人进行施救：</w:t>
            </w:r>
          </w:p>
          <w:p>
            <w:pPr>
              <w:ind w:firstLine="570"/>
              <w:jc w:val="left"/>
              <w:rPr>
                <w:rFonts w:hint="eastAsia" w:ascii="宋体" w:hAnsi="宋体" w:cs="宋体"/>
                <w:bCs/>
                <w:szCs w:val="21"/>
              </w:rPr>
            </w:pPr>
            <w:r>
              <w:rPr>
                <w:rFonts w:hint="eastAsia" w:ascii="宋体" w:hAnsi="宋体" w:cs="宋体"/>
                <w:bCs/>
                <w:szCs w:val="21"/>
              </w:rPr>
              <w:t>① 立即截断电源，关上插座上的开头或拔除插头。如果够不着插座开关，就关上总开关。切勿试图关上那件电器用具的开头因为可能正是该开关漏电。</w:t>
            </w:r>
          </w:p>
          <w:p>
            <w:pPr>
              <w:ind w:firstLine="570"/>
              <w:jc w:val="left"/>
              <w:rPr>
                <w:rFonts w:hint="eastAsia" w:ascii="宋体" w:hAnsi="宋体" w:cs="宋体"/>
                <w:bCs/>
                <w:szCs w:val="21"/>
              </w:rPr>
            </w:pPr>
            <w:r>
              <w:rPr>
                <w:rFonts w:hint="eastAsia" w:ascii="宋体" w:hAnsi="宋体" w:cs="宋体"/>
                <w:bCs/>
                <w:szCs w:val="21"/>
              </w:rPr>
              <w:t>② 若无法关上开头可站在绝缘物上，如一叠厚报纸、塑料布、木板之类，用扫帚或木椅等将伤者拨离电源，或用绳子、裤子或任何干布条绕过伤者腋下或腿部，把伤者拖离电源。切勿用手触及伤者，也不要用潮湿的工具或金属物质把伤者拨开，也不要使用潮湿的物件拖动伤者。</w:t>
            </w:r>
          </w:p>
          <w:p>
            <w:pPr>
              <w:ind w:firstLine="525" w:firstLineChars="250"/>
              <w:jc w:val="left"/>
              <w:rPr>
                <w:rFonts w:hint="eastAsia" w:ascii="宋体" w:hAnsi="宋体" w:cs="宋体"/>
                <w:bCs/>
                <w:szCs w:val="21"/>
              </w:rPr>
            </w:pPr>
            <w:r>
              <w:rPr>
                <w:rFonts w:hint="eastAsia" w:ascii="宋体" w:hAnsi="宋体" w:cs="宋体"/>
                <w:bCs/>
                <w:szCs w:val="21"/>
              </w:rPr>
              <w:t>③ 如果伤者呼吸心跳停止，开始人工呼吸和胸外心脏按压。切记不能给触电的人注射强心针。若伤者昏迷，则将其身体放置成卧式。</w:t>
            </w:r>
          </w:p>
          <w:p>
            <w:pPr>
              <w:ind w:firstLine="525" w:firstLineChars="250"/>
              <w:jc w:val="left"/>
              <w:rPr>
                <w:rFonts w:hint="eastAsia" w:ascii="宋体" w:hAnsi="宋体" w:cs="宋体"/>
                <w:bCs/>
                <w:szCs w:val="21"/>
              </w:rPr>
            </w:pPr>
            <w:r>
              <w:rPr>
                <w:rFonts w:hint="eastAsia" w:ascii="宋体" w:hAnsi="宋体" w:cs="宋体"/>
                <w:bCs/>
                <w:szCs w:val="21"/>
              </w:rPr>
              <w:t>④ 若伤者曾经昏迷、身体遭烧伤，或感到不适，必须打电话叫救护车，或立即送伤者到医院急救。</w:t>
            </w:r>
          </w:p>
          <w:p>
            <w:pPr>
              <w:ind w:firstLine="525" w:firstLineChars="250"/>
              <w:jc w:val="left"/>
              <w:rPr>
                <w:rFonts w:hint="eastAsia" w:ascii="宋体" w:hAnsi="宋体" w:cs="宋体"/>
                <w:bCs/>
                <w:szCs w:val="21"/>
              </w:rPr>
            </w:pPr>
            <w:r>
              <w:rPr>
                <w:rFonts w:hint="eastAsia" w:ascii="宋体" w:hAnsi="宋体" w:cs="宋体"/>
                <w:bCs/>
                <w:szCs w:val="21"/>
              </w:rPr>
              <w:t>⑤ 现场抢救触电者的原则：现场抢救触电者的经验原则是：迅速、就地、准确、坚持。迅速——争分夺秒使触电者脱离电源；就地——必须在现场附近就地抢救，伤者有意识后再就近送医院抢救。从触电时算起，5分钟以内及时抢救，救生率90%左右。10分钟以内抢救救生率6.15%希望甚微；准确——人工呼吸的动作必须准确；坚持——只要有百万分之一希望就要近百分之百的努力抢救。</w:t>
            </w:r>
          </w:p>
          <w:p>
            <w:pPr>
              <w:ind w:firstLine="525" w:firstLineChars="250"/>
              <w:jc w:val="left"/>
              <w:rPr>
                <w:rFonts w:hint="eastAsia" w:ascii="宋体" w:hAnsi="宋体" w:cs="宋体"/>
                <w:bCs/>
                <w:szCs w:val="21"/>
              </w:rPr>
            </w:pPr>
            <w:r>
              <w:rPr>
                <w:rFonts w:hint="eastAsia" w:ascii="宋体" w:hAnsi="宋体" w:cs="宋体"/>
                <w:bCs/>
                <w:szCs w:val="21"/>
              </w:rPr>
              <w:t>（1）人工呼吸并及时输氧。——负责人：范红叶</w:t>
            </w:r>
          </w:p>
          <w:p>
            <w:pPr>
              <w:ind w:firstLine="525" w:firstLineChars="250"/>
              <w:jc w:val="left"/>
              <w:rPr>
                <w:rFonts w:hint="eastAsia" w:ascii="宋体" w:hAnsi="宋体" w:cs="宋体"/>
                <w:bCs/>
                <w:szCs w:val="21"/>
              </w:rPr>
            </w:pPr>
            <w:r>
              <w:rPr>
                <w:rFonts w:hint="eastAsia" w:ascii="宋体" w:hAnsi="宋体" w:cs="宋体"/>
                <w:bCs/>
                <w:szCs w:val="21"/>
              </w:rPr>
              <w:t>（2）立即将触电工人送往附近医院。——负责人：范红叶</w:t>
            </w:r>
          </w:p>
          <w:p>
            <w:pPr>
              <w:ind w:firstLine="525" w:firstLineChars="250"/>
              <w:jc w:val="left"/>
              <w:rPr>
                <w:rFonts w:hint="eastAsia" w:ascii="宋体" w:hAnsi="宋体" w:cs="宋体"/>
                <w:bCs/>
                <w:szCs w:val="21"/>
              </w:rPr>
            </w:pPr>
            <w:r>
              <w:rPr>
                <w:rFonts w:hint="eastAsia" w:ascii="宋体" w:hAnsi="宋体" w:cs="宋体"/>
                <w:bCs/>
                <w:szCs w:val="21"/>
              </w:rPr>
              <w:t>（3）现场保护。——负责人：苏立楠</w:t>
            </w:r>
          </w:p>
          <w:p>
            <w:pPr>
              <w:ind w:firstLine="525" w:firstLineChars="250"/>
              <w:jc w:val="left"/>
              <w:rPr>
                <w:rFonts w:hint="eastAsia" w:ascii="宋体" w:hAnsi="宋体" w:cs="宋体"/>
                <w:bCs/>
                <w:szCs w:val="21"/>
              </w:rPr>
            </w:pPr>
            <w:r>
              <w:rPr>
                <w:rFonts w:hint="eastAsia" w:ascii="宋体" w:hAnsi="宋体" w:cs="宋体"/>
                <w:bCs/>
                <w:szCs w:val="21"/>
              </w:rPr>
              <w:t>（4）维护秩序。——负责人：范红叶</w:t>
            </w:r>
          </w:p>
          <w:p>
            <w:pPr>
              <w:ind w:firstLine="525" w:firstLineChars="250"/>
              <w:jc w:val="left"/>
              <w:rPr>
                <w:rFonts w:hint="eastAsia" w:ascii="宋体" w:hAnsi="宋体" w:cs="宋体"/>
                <w:bCs/>
                <w:szCs w:val="21"/>
              </w:rPr>
            </w:pPr>
            <w:r>
              <w:rPr>
                <w:rFonts w:hint="eastAsia" w:ascii="宋体" w:hAnsi="宋体" w:cs="宋体"/>
                <w:bCs/>
                <w:szCs w:val="21"/>
              </w:rPr>
              <w:t>（5）事故调查。——负责人：于洋</w:t>
            </w:r>
          </w:p>
          <w:p>
            <w:pPr>
              <w:ind w:firstLine="525" w:firstLineChars="250"/>
              <w:jc w:val="left"/>
              <w:rPr>
                <w:rFonts w:hint="eastAsia" w:ascii="宋体" w:hAnsi="宋体" w:cs="宋体"/>
                <w:bCs/>
                <w:szCs w:val="21"/>
              </w:rPr>
            </w:pPr>
            <w:r>
              <w:rPr>
                <w:rFonts w:hint="eastAsia" w:ascii="宋体" w:hAnsi="宋体" w:cs="宋体"/>
                <w:bCs/>
                <w:szCs w:val="21"/>
              </w:rPr>
              <w:t>（6）总结整改。——负责人：苏立苑</w:t>
            </w:r>
          </w:p>
          <w:p>
            <w:pPr>
              <w:ind w:firstLine="525" w:firstLineChars="250"/>
              <w:jc w:val="left"/>
              <w:rPr>
                <w:rFonts w:hint="eastAsia" w:ascii="宋体" w:hAnsi="宋体" w:cs="宋体"/>
                <w:bCs/>
                <w:szCs w:val="21"/>
              </w:rPr>
            </w:pPr>
            <w:r>
              <w:rPr>
                <w:rFonts w:hint="eastAsia" w:ascii="宋体" w:hAnsi="宋体" w:cs="宋体"/>
                <w:bCs/>
                <w:szCs w:val="21"/>
              </w:rPr>
              <w:t>各组分头行动。重点：及时：将触电工人送往医院。</w:t>
            </w:r>
          </w:p>
          <w:p>
            <w:pPr>
              <w:ind w:firstLine="525" w:firstLineChars="250"/>
              <w:jc w:val="left"/>
              <w:rPr>
                <w:rFonts w:hint="eastAsia" w:ascii="宋体" w:hAnsi="宋体" w:cs="宋体"/>
                <w:bCs/>
                <w:szCs w:val="21"/>
              </w:rPr>
            </w:pPr>
            <w:r>
              <w:rPr>
                <w:rFonts w:hint="eastAsia" w:ascii="宋体" w:hAnsi="宋体" w:cs="宋体"/>
                <w:bCs/>
                <w:szCs w:val="21"/>
              </w:rPr>
              <w:t>大致步骤：</w:t>
            </w:r>
          </w:p>
          <w:p>
            <w:pPr>
              <w:ind w:firstLine="525" w:firstLineChars="250"/>
              <w:jc w:val="left"/>
              <w:rPr>
                <w:rFonts w:hint="eastAsia" w:ascii="宋体" w:hAnsi="宋体" w:cs="宋体"/>
                <w:bCs/>
                <w:szCs w:val="21"/>
              </w:rPr>
            </w:pPr>
            <w:r>
              <w:rPr>
                <w:rFonts w:hint="eastAsia" w:ascii="宋体" w:hAnsi="宋体" w:cs="宋体"/>
                <w:bCs/>
                <w:szCs w:val="21"/>
              </w:rPr>
              <w:t>（1）报急救电话：120 ——负责人：范红叶</w:t>
            </w:r>
          </w:p>
          <w:p>
            <w:pPr>
              <w:ind w:firstLine="525" w:firstLineChars="250"/>
              <w:jc w:val="left"/>
              <w:rPr>
                <w:rFonts w:hint="eastAsia" w:ascii="宋体" w:hAnsi="宋体" w:cs="宋体"/>
                <w:bCs/>
                <w:szCs w:val="21"/>
              </w:rPr>
            </w:pPr>
            <w:r>
              <w:rPr>
                <w:rFonts w:hint="eastAsia" w:ascii="宋体" w:hAnsi="宋体" w:cs="宋体"/>
                <w:bCs/>
                <w:szCs w:val="21"/>
              </w:rPr>
              <w:t>（2）急救小组将触电昏迷工人安放在担架上，候车，待救护车到，即抬上车。——负责人：苏立楠</w:t>
            </w:r>
          </w:p>
          <w:p>
            <w:pPr>
              <w:ind w:firstLine="525" w:firstLineChars="250"/>
              <w:jc w:val="left"/>
              <w:rPr>
                <w:rFonts w:hint="eastAsia" w:ascii="宋体" w:hAnsi="宋体" w:cs="宋体"/>
                <w:bCs/>
                <w:szCs w:val="21"/>
              </w:rPr>
            </w:pPr>
            <w:r>
              <w:rPr>
                <w:rFonts w:hint="eastAsia" w:ascii="宋体" w:hAnsi="宋体" w:cs="宋体"/>
                <w:bCs/>
                <w:szCs w:val="21"/>
              </w:rPr>
              <w:t>总指挥做演练评价，宣布演练结束。</w:t>
            </w:r>
          </w:p>
          <w:p>
            <w:pPr>
              <w:ind w:firstLine="420" w:firstLineChars="200"/>
              <w:rPr>
                <w:rFonts w:ascii="宋体" w:hAnsi="宋体" w:cs="宋体"/>
                <w:bCs/>
                <w:szCs w:val="21"/>
              </w:rPr>
            </w:pPr>
          </w:p>
          <w:p>
            <w:pPr>
              <w:ind w:firstLine="420" w:firstLineChars="200"/>
              <w:rPr>
                <w:rFonts w:ascii="宋体" w:hAnsi="宋体" w:cs="宋体"/>
                <w:bCs/>
                <w:szCs w:val="21"/>
              </w:rPr>
            </w:pPr>
            <w:r>
              <w:rPr>
                <w:rFonts w:hint="eastAsia" w:ascii="宋体" w:hAnsi="宋体" w:cs="宋体"/>
                <w:bCs/>
                <w:szCs w:val="21"/>
              </w:rPr>
              <w:t>自体系运行以来尚未发生紧急情况。</w:t>
            </w:r>
          </w:p>
          <w:p>
            <w:pPr>
              <w:spacing w:line="360" w:lineRule="atLeast"/>
              <w:ind w:firstLine="420" w:firstLineChars="200"/>
              <w:rPr>
                <w:rFonts w:ascii="宋体" w:hAnsi="宋体" w:cs="宋体"/>
                <w:bCs/>
                <w:szCs w:val="21"/>
              </w:rPr>
            </w:pP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jc w:val="center"/>
        </w:trPr>
        <w:tc>
          <w:tcPr>
            <w:tcW w:w="2160" w:type="dxa"/>
            <w:vAlign w:val="center"/>
          </w:tcPr>
          <w:p>
            <w:r>
              <w:rPr>
                <w:rFonts w:hint="eastAsia"/>
                <w:szCs w:val="21"/>
              </w:rPr>
              <w:t>内部审核</w:t>
            </w:r>
          </w:p>
        </w:tc>
        <w:tc>
          <w:tcPr>
            <w:tcW w:w="960" w:type="dxa"/>
            <w:vAlign w:val="center"/>
          </w:tcPr>
          <w:p>
            <w:pPr>
              <w:rPr>
                <w:szCs w:val="21"/>
              </w:rPr>
            </w:pPr>
            <w:r>
              <w:rPr>
                <w:rFonts w:hint="eastAsia"/>
                <w:szCs w:val="21"/>
              </w:rPr>
              <w:t>QEO9.2</w:t>
            </w:r>
          </w:p>
          <w:p/>
        </w:tc>
        <w:tc>
          <w:tcPr>
            <w:tcW w:w="10694" w:type="dxa"/>
            <w:vAlign w:val="center"/>
          </w:tcPr>
          <w:p>
            <w:pPr>
              <w:ind w:firstLine="420" w:firstLineChars="200"/>
              <w:rPr>
                <w:rFonts w:ascii="宋体" w:hAnsi="宋体" w:cs="宋体"/>
                <w:szCs w:val="21"/>
              </w:rPr>
            </w:pPr>
            <w:r>
              <w:rPr>
                <w:rFonts w:hint="eastAsia" w:ascii="宋体" w:hAnsi="宋体" w:cs="宋体"/>
                <w:szCs w:val="21"/>
              </w:rPr>
              <w:t>公司制定《内部审核控制程序》，对内部审核方案策划规定：</w:t>
            </w:r>
          </w:p>
          <w:p>
            <w:pPr>
              <w:rPr>
                <w:rFonts w:ascii="宋体" w:hAnsi="宋体" w:cs="宋体"/>
                <w:szCs w:val="21"/>
              </w:rPr>
            </w:pPr>
            <w:r>
              <w:rPr>
                <w:rFonts w:hint="eastAsia" w:ascii="宋体" w:hAnsi="宋体" w:cs="宋体"/>
                <w:szCs w:val="21"/>
              </w:rPr>
              <w:t>1.频次：内审每年至少进行一次，两次内部审核的时间间隔不超过12个月。</w:t>
            </w:r>
          </w:p>
          <w:p>
            <w:pPr>
              <w:rPr>
                <w:rFonts w:ascii="宋体" w:hAnsi="宋体" w:cs="宋体"/>
                <w:szCs w:val="21"/>
              </w:rPr>
            </w:pPr>
            <w:r>
              <w:rPr>
                <w:rFonts w:hint="eastAsia" w:ascii="宋体" w:hAnsi="宋体" w:cs="宋体"/>
                <w:szCs w:val="21"/>
              </w:rPr>
              <w:t>2.方法：集中式按部门审核。</w:t>
            </w:r>
          </w:p>
          <w:p>
            <w:pPr>
              <w:rPr>
                <w:rFonts w:ascii="宋体" w:hAnsi="宋体" w:cs="宋体"/>
                <w:szCs w:val="21"/>
              </w:rPr>
            </w:pPr>
            <w:r>
              <w:rPr>
                <w:rFonts w:hint="eastAsia" w:ascii="宋体" w:hAnsi="宋体" w:cs="宋体"/>
                <w:szCs w:val="21"/>
              </w:rPr>
              <w:t>3.职责：体系负责人组织内部审核活动。</w:t>
            </w:r>
          </w:p>
          <w:p>
            <w:pPr>
              <w:rPr>
                <w:rFonts w:ascii="宋体" w:hAnsi="宋体" w:cs="宋体"/>
                <w:szCs w:val="21"/>
              </w:rPr>
            </w:pPr>
            <w:r>
              <w:rPr>
                <w:rFonts w:hint="eastAsia" w:ascii="宋体" w:hAnsi="宋体" w:cs="宋体"/>
                <w:szCs w:val="21"/>
              </w:rPr>
              <w:t>4.策划要求：范围、准则、工作分配等。</w:t>
            </w:r>
          </w:p>
          <w:p>
            <w:pPr>
              <w:rPr>
                <w:rFonts w:ascii="宋体" w:hAnsi="宋体" w:cs="宋体"/>
                <w:szCs w:val="21"/>
              </w:rPr>
            </w:pPr>
            <w:r>
              <w:rPr>
                <w:rFonts w:hint="eastAsia" w:ascii="宋体" w:hAnsi="宋体" w:cs="宋体"/>
                <w:szCs w:val="21"/>
              </w:rPr>
              <w:t>5.报告：体系负责人在内部审核结束及纠正措施完成后应向总经理报告审核结果。</w:t>
            </w:r>
          </w:p>
          <w:p>
            <w:pPr>
              <w:rPr>
                <w:rFonts w:ascii="宋体" w:hAnsi="宋体" w:cs="宋体"/>
                <w:szCs w:val="21"/>
              </w:rPr>
            </w:pPr>
            <w:r>
              <w:rPr>
                <w:rFonts w:hint="eastAsia" w:ascii="宋体" w:hAnsi="宋体" w:cs="宋体"/>
                <w:szCs w:val="21"/>
              </w:rPr>
              <w:t>6.提供了《20</w:t>
            </w:r>
            <w:r>
              <w:rPr>
                <w:rFonts w:ascii="宋体" w:hAnsi="宋体" w:cs="宋体"/>
                <w:szCs w:val="21"/>
              </w:rPr>
              <w:t>20</w:t>
            </w:r>
            <w:r>
              <w:rPr>
                <w:rFonts w:hint="eastAsia" w:ascii="宋体" w:hAnsi="宋体" w:cs="宋体"/>
                <w:szCs w:val="21"/>
              </w:rPr>
              <w:t>年内部审核实施计划》，计划内容有：目的、范围、审核准则，审核时间</w:t>
            </w:r>
            <w:r>
              <w:rPr>
                <w:rFonts w:hint="eastAsia"/>
                <w:color w:val="000000"/>
                <w:szCs w:val="21"/>
              </w:rPr>
              <w:t>20</w:t>
            </w:r>
            <w:r>
              <w:rPr>
                <w:color w:val="000000"/>
                <w:szCs w:val="21"/>
              </w:rPr>
              <w:t>20</w:t>
            </w:r>
            <w:r>
              <w:rPr>
                <w:rFonts w:hint="eastAsia"/>
                <w:color w:val="000000"/>
                <w:szCs w:val="21"/>
              </w:rPr>
              <w:t>年</w:t>
            </w:r>
            <w:r>
              <w:rPr>
                <w:color w:val="000000"/>
                <w:szCs w:val="21"/>
              </w:rPr>
              <w:t>3</w:t>
            </w:r>
            <w:r>
              <w:rPr>
                <w:rFonts w:hint="eastAsia"/>
                <w:color w:val="000000"/>
                <w:szCs w:val="21"/>
              </w:rPr>
              <w:t>月</w:t>
            </w:r>
            <w:r>
              <w:rPr>
                <w:color w:val="000000"/>
                <w:szCs w:val="21"/>
              </w:rPr>
              <w:t>24</w:t>
            </w:r>
            <w:r>
              <w:rPr>
                <w:rFonts w:hint="eastAsia"/>
                <w:color w:val="000000"/>
                <w:szCs w:val="21"/>
              </w:rPr>
              <w:t>日</w:t>
            </w:r>
            <w:r>
              <w:rPr>
                <w:rFonts w:hint="eastAsia" w:ascii="宋体" w:hAnsi="宋体" w:cs="宋体"/>
                <w:szCs w:val="21"/>
              </w:rPr>
              <w:t>。</w:t>
            </w:r>
          </w:p>
          <w:p>
            <w:pPr>
              <w:rPr>
                <w:rFonts w:ascii="宋体" w:hAnsi="宋体" w:cs="宋体"/>
                <w:szCs w:val="21"/>
              </w:rPr>
            </w:pPr>
            <w:r>
              <w:rPr>
                <w:rFonts w:hint="eastAsia" w:ascii="宋体" w:hAnsi="宋体" w:cs="宋体"/>
                <w:szCs w:val="21"/>
              </w:rPr>
              <w:t>查阅20</w:t>
            </w:r>
            <w:r>
              <w:rPr>
                <w:rFonts w:ascii="宋体" w:hAnsi="宋体" w:cs="宋体"/>
                <w:szCs w:val="21"/>
              </w:rPr>
              <w:t>20</w:t>
            </w:r>
            <w:r>
              <w:rPr>
                <w:rFonts w:hint="eastAsia" w:ascii="宋体" w:hAnsi="宋体" w:cs="宋体"/>
                <w:szCs w:val="21"/>
              </w:rPr>
              <w:t>年度内部审核有关记录</w:t>
            </w:r>
          </w:p>
          <w:p>
            <w:pPr>
              <w:numPr>
                <w:ilvl w:val="0"/>
                <w:numId w:val="3"/>
              </w:numPr>
              <w:rPr>
                <w:rFonts w:ascii="宋体" w:hAnsi="宋体" w:cs="宋体"/>
                <w:szCs w:val="21"/>
              </w:rPr>
            </w:pPr>
            <w:r>
              <w:rPr>
                <w:rFonts w:hint="eastAsia" w:ascii="宋体" w:hAnsi="宋体" w:cs="宋体"/>
                <w:szCs w:val="21"/>
              </w:rPr>
              <w:t>提供了审核组名单：</w:t>
            </w:r>
            <w:r>
              <w:rPr>
                <w:rFonts w:hint="eastAsia"/>
                <w:color w:val="000000"/>
                <w:szCs w:val="21"/>
              </w:rPr>
              <w:t>组</w:t>
            </w:r>
            <w:r>
              <w:rPr>
                <w:rFonts w:hint="eastAsia" w:ascii="宋体" w:hAnsi="宋体" w:cs="宋体"/>
                <w:szCs w:val="21"/>
              </w:rPr>
              <w:t>长：苏振才组员：苏立苑</w:t>
            </w:r>
          </w:p>
          <w:p>
            <w:pPr>
              <w:numPr>
                <w:ilvl w:val="0"/>
                <w:numId w:val="3"/>
              </w:numPr>
              <w:rPr>
                <w:rFonts w:ascii="宋体" w:hAnsi="宋体" w:cs="宋体"/>
                <w:szCs w:val="21"/>
              </w:rPr>
            </w:pPr>
            <w:r>
              <w:rPr>
                <w:rFonts w:hint="eastAsia" w:ascii="宋体" w:hAnsi="宋体" w:cs="宋体"/>
                <w:szCs w:val="21"/>
              </w:rPr>
              <w:t xml:space="preserve">审核时间：  </w:t>
            </w:r>
            <w:r>
              <w:rPr>
                <w:rFonts w:hint="eastAsia"/>
                <w:color w:val="000000"/>
                <w:szCs w:val="21"/>
              </w:rPr>
              <w:t>20</w:t>
            </w:r>
            <w:r>
              <w:rPr>
                <w:color w:val="000000"/>
                <w:szCs w:val="21"/>
              </w:rPr>
              <w:t>20</w:t>
            </w:r>
            <w:r>
              <w:rPr>
                <w:rFonts w:hint="eastAsia"/>
                <w:color w:val="000000"/>
                <w:szCs w:val="21"/>
              </w:rPr>
              <w:t>年1月17日</w:t>
            </w:r>
          </w:p>
          <w:p>
            <w:pPr>
              <w:spacing w:line="360" w:lineRule="exact"/>
              <w:rPr>
                <w:rFonts w:ascii="宋体" w:hAnsi="宋体" w:cs="宋体"/>
                <w:szCs w:val="21"/>
              </w:rPr>
            </w:pPr>
            <w:r>
              <w:rPr>
                <w:rFonts w:hint="eastAsia" w:ascii="宋体" w:hAnsi="宋体" w:cs="宋体"/>
                <w:szCs w:val="21"/>
              </w:rPr>
              <w:t>3.审核范围：公司领导层、各部门</w:t>
            </w:r>
            <w:r>
              <w:rPr>
                <w:rFonts w:ascii="宋体" w:hAnsi="宋体" w:cs="宋体"/>
                <w:szCs w:val="21"/>
              </w:rPr>
              <w:t>木质家具（办公家具、课桌椅、套房家具）的生产、钢制家具的销售</w:t>
            </w:r>
            <w:r>
              <w:rPr>
                <w:rFonts w:hint="eastAsia" w:ascii="宋体" w:hAnsi="宋体" w:cs="宋体"/>
                <w:szCs w:val="21"/>
              </w:rPr>
              <w:t>覆盖体系所有部门和标准全部条款</w:t>
            </w:r>
          </w:p>
          <w:p>
            <w:pPr>
              <w:rPr>
                <w:rFonts w:ascii="宋体" w:hAnsi="宋体" w:cs="宋体"/>
                <w:szCs w:val="21"/>
              </w:rPr>
            </w:pPr>
            <w:r>
              <w:rPr>
                <w:rFonts w:hint="eastAsia" w:ascii="宋体" w:hAnsi="宋体" w:cs="宋体"/>
                <w:szCs w:val="21"/>
              </w:rPr>
              <w:t>4.审核准则：ISO9001:2015《质量管理体系 要求》、ISO14001：2015《环境管理体系 要求及使用指南》、ISO45001：2019《职业健康安全管理体系 要求》、公司管理体系文件、适用的法律法规、产品标准等。</w:t>
            </w:r>
          </w:p>
          <w:p>
            <w:pPr>
              <w:rPr>
                <w:rFonts w:ascii="宋体" w:hAnsi="宋体" w:cs="宋体"/>
                <w:szCs w:val="21"/>
              </w:rPr>
            </w:pPr>
            <w:r>
              <w:rPr>
                <w:rFonts w:hint="eastAsia" w:ascii="宋体" w:hAnsi="宋体" w:cs="宋体"/>
                <w:szCs w:val="21"/>
              </w:rPr>
              <w:t>5.提供了《内审首次会议签到表》，参加人有各部门负责人等。</w:t>
            </w:r>
          </w:p>
          <w:p>
            <w:pPr>
              <w:rPr>
                <w:rFonts w:ascii="宋体" w:hAnsi="宋体" w:cs="宋体"/>
                <w:szCs w:val="21"/>
              </w:rPr>
            </w:pPr>
            <w:r>
              <w:rPr>
                <w:rFonts w:hint="eastAsia" w:ascii="宋体" w:hAnsi="宋体" w:cs="宋体"/>
                <w:szCs w:val="21"/>
              </w:rPr>
              <w:t>6.提供了《内审检查表》，经查阅对照，受审核部门涉及条款与公司管理体系职责分配相一致。</w:t>
            </w:r>
          </w:p>
          <w:p>
            <w:pPr>
              <w:pStyle w:val="12"/>
              <w:ind w:firstLine="210" w:firstLineChars="100"/>
              <w:jc w:val="left"/>
              <w:rPr>
                <w:rFonts w:ascii="宋体" w:hAnsi="宋体" w:cs="宋体"/>
                <w:bCs w:val="0"/>
                <w:spacing w:val="0"/>
                <w:szCs w:val="21"/>
              </w:rPr>
            </w:pPr>
            <w:r>
              <w:rPr>
                <w:rFonts w:hint="eastAsia" w:ascii="宋体" w:hAnsi="宋体" w:cs="宋体"/>
                <w:bCs w:val="0"/>
                <w:spacing w:val="0"/>
                <w:szCs w:val="21"/>
              </w:rPr>
              <w:t>审核计划安排合理，审核记录基本满足要求。</w:t>
            </w:r>
          </w:p>
          <w:p>
            <w:pPr>
              <w:rPr>
                <w:rFonts w:ascii="宋体" w:hAnsi="宋体" w:cs="宋体"/>
                <w:szCs w:val="21"/>
              </w:rPr>
            </w:pPr>
            <w:r>
              <w:rPr>
                <w:rFonts w:hint="eastAsia" w:ascii="宋体" w:hAnsi="宋体" w:cs="宋体"/>
                <w:szCs w:val="21"/>
              </w:rPr>
              <w:t>提供了《内审不合格报告》1份，审核发现,现场未提供的《合格供方评价记录》，未提供相关供应商的评价记录，不符合</w:t>
            </w:r>
            <w:r>
              <w:rPr>
                <w:rFonts w:ascii="宋体" w:hAnsi="宋体" w:cs="宋体"/>
                <w:szCs w:val="21"/>
              </w:rPr>
              <w:t>GB/T19001-2016idtISO9001:2015</w:t>
            </w:r>
            <w:r>
              <w:rPr>
                <w:rFonts w:hint="eastAsia" w:ascii="宋体" w:hAnsi="宋体" w:cs="宋体"/>
                <w:szCs w:val="21"/>
              </w:rPr>
              <w:t>标准8.4外部供方中的相关要求。</w:t>
            </w:r>
          </w:p>
          <w:p>
            <w:pPr>
              <w:rPr>
                <w:rFonts w:ascii="宋体" w:hAnsi="宋体" w:cs="宋体"/>
                <w:szCs w:val="21"/>
              </w:rPr>
            </w:pPr>
            <w:r>
              <w:rPr>
                <w:rFonts w:hint="eastAsia" w:ascii="宋体" w:hAnsi="宋体" w:cs="宋体"/>
                <w:szCs w:val="21"/>
              </w:rPr>
              <w:t>。</w:t>
            </w:r>
          </w:p>
          <w:p>
            <w:pPr>
              <w:spacing w:line="360" w:lineRule="exact"/>
              <w:rPr>
                <w:rFonts w:ascii="宋体" w:hAnsi="宋体" w:cs="宋体"/>
                <w:szCs w:val="21"/>
              </w:rPr>
            </w:pPr>
            <w:r>
              <w:rPr>
                <w:rFonts w:hint="eastAsia" w:ascii="宋体" w:hAnsi="宋体" w:cs="宋体"/>
                <w:szCs w:val="21"/>
              </w:rPr>
              <w:t>7</w:t>
            </w:r>
            <w:r>
              <w:rPr>
                <w:rFonts w:ascii="宋体" w:hAnsi="宋体" w:cs="宋体"/>
                <w:szCs w:val="21"/>
              </w:rPr>
              <w:t>.</w:t>
            </w:r>
            <w:r>
              <w:rPr>
                <w:rFonts w:hint="eastAsia" w:ascii="宋体" w:hAnsi="宋体" w:cs="宋体"/>
                <w:szCs w:val="21"/>
              </w:rPr>
              <w:t>提供《审核报告》审核报告中包括审核目的、审核范围、审核依据、审核内容摘要、审核结论等内容，对审核过程进行了综述，对公司管理体系的符合性进行了评价，针对不足部门提出了建议改进即：对于审核中发现的不合格，部门应分析不合格原因，提出纠正和纠正措施计划，组织相关部门人员进行管理体系标准条款学习，进行不符合项整改，组织相关内审员对整改后的情况进行跟踪验证，确认纠正及纠正措施有效，体系的建立、运行符合质量管理体系要求。</w:t>
            </w:r>
          </w:p>
          <w:p>
            <w:pPr>
              <w:ind w:firstLine="420" w:firstLineChars="200"/>
              <w:rPr>
                <w:rFonts w:ascii="宋体" w:hAnsi="宋体" w:cs="宋体"/>
                <w:szCs w:val="21"/>
              </w:rPr>
            </w:pPr>
            <w:r>
              <w:rPr>
                <w:rFonts w:hint="eastAsia" w:ascii="宋体" w:hAnsi="宋体" w:cs="宋体"/>
                <w:szCs w:val="21"/>
              </w:rPr>
              <w:t>审核结论：本公司依据</w:t>
            </w:r>
            <w:r>
              <w:rPr>
                <w:rFonts w:ascii="宋体" w:hAnsi="宋体" w:cs="宋体"/>
                <w:szCs w:val="21"/>
              </w:rPr>
              <w:t>GB/T19001-2016idtISO9001:2015</w:t>
            </w:r>
            <w:r>
              <w:rPr>
                <w:rFonts w:hint="eastAsia" w:ascii="宋体" w:hAnsi="宋体" w:cs="宋体"/>
                <w:szCs w:val="21"/>
              </w:rPr>
              <w:t>标准，</w:t>
            </w:r>
            <w:r>
              <w:rPr>
                <w:rFonts w:ascii="宋体" w:hAnsi="宋体" w:cs="宋体"/>
                <w:szCs w:val="21"/>
              </w:rPr>
              <w:t>GB/T24001-2016idtISO14001:2015</w:t>
            </w:r>
            <w:r>
              <w:rPr>
                <w:rFonts w:hint="eastAsia" w:ascii="宋体" w:hAnsi="宋体" w:cs="宋体"/>
                <w:szCs w:val="21"/>
              </w:rPr>
              <w:t xml:space="preserve">标准，ISO45001:2018标准所建立的管理体系符合标准的要求，各部门基本能够按照体系文件的要求开展工作，通过体系的有效运行进一步规范了各部门、岗位的工作行为，生产产品质量稳定，确保质量管理体系运行的各过程得到有效控制，初步达到了方针和目标的要求，遵纪守法、预防为主的意识得到提高。但也存在一定问题，如各项统计记录不全面，其主要原因是对标准和体系文件学习理解不够，个别工作没有严格按体系文件要求形成记录，考核不严。  </w:t>
            </w:r>
          </w:p>
          <w:p>
            <w:r>
              <w:rPr>
                <w:rFonts w:hint="eastAsia" w:ascii="宋体" w:hAnsi="宋体" w:cs="宋体"/>
                <w:szCs w:val="21"/>
              </w:rPr>
              <w:t>提供了内审员授权书，审核员没有审核自己部门工作，具有独立性。</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jc w:val="center"/>
        </w:trPr>
        <w:tc>
          <w:tcPr>
            <w:tcW w:w="2160" w:type="dxa"/>
            <w:vAlign w:val="center"/>
          </w:tcPr>
          <w:p>
            <w:pPr>
              <w:rPr>
                <w:szCs w:val="21"/>
              </w:rPr>
            </w:pPr>
            <w:r>
              <w:rPr>
                <w:rFonts w:hint="eastAsia"/>
                <w:szCs w:val="21"/>
              </w:rPr>
              <w:t>不符合和纠正措施</w:t>
            </w:r>
          </w:p>
          <w:p>
            <w:pPr>
              <w:rPr>
                <w:szCs w:val="21"/>
              </w:rPr>
            </w:pPr>
            <w:r>
              <w:rPr>
                <w:rFonts w:hint="eastAsia"/>
                <w:szCs w:val="21"/>
              </w:rPr>
              <w:t>事件调查、不符合、纠正措施和预防措施</w:t>
            </w:r>
          </w:p>
        </w:tc>
        <w:tc>
          <w:tcPr>
            <w:tcW w:w="960" w:type="dxa"/>
            <w:vAlign w:val="center"/>
          </w:tcPr>
          <w:p>
            <w:pPr>
              <w:rPr>
                <w:szCs w:val="21"/>
              </w:rPr>
            </w:pPr>
            <w:r>
              <w:rPr>
                <w:rFonts w:hint="eastAsia"/>
                <w:szCs w:val="21"/>
              </w:rPr>
              <w:t>Q</w:t>
            </w:r>
            <w:r>
              <w:rPr>
                <w:szCs w:val="21"/>
              </w:rPr>
              <w:t>E</w:t>
            </w:r>
            <w:r>
              <w:rPr>
                <w:rFonts w:hint="eastAsia"/>
                <w:szCs w:val="21"/>
              </w:rPr>
              <w:t xml:space="preserve">O </w:t>
            </w:r>
          </w:p>
          <w:p>
            <w:pPr>
              <w:rPr>
                <w:szCs w:val="21"/>
              </w:rPr>
            </w:pPr>
            <w:r>
              <w:rPr>
                <w:szCs w:val="21"/>
              </w:rPr>
              <w:t>10.2</w:t>
            </w:r>
          </w:p>
          <w:p>
            <w:pPr>
              <w:rPr>
                <w:szCs w:val="21"/>
              </w:rPr>
            </w:pPr>
          </w:p>
        </w:tc>
        <w:tc>
          <w:tcPr>
            <w:tcW w:w="10694" w:type="dxa"/>
            <w:vAlign w:val="center"/>
          </w:tcPr>
          <w:p>
            <w:pPr>
              <w:ind w:firstLine="420" w:firstLineChars="200"/>
              <w:rPr>
                <w:szCs w:val="21"/>
              </w:rPr>
            </w:pPr>
            <w:r>
              <w:rPr>
                <w:rFonts w:hint="eastAsia"/>
                <w:szCs w:val="21"/>
              </w:rPr>
              <w:t>企业通过过程的监视和测量、绩效考核、内审、管理评审等方式和机制，确保质量管理制度有效执行。</w:t>
            </w:r>
          </w:p>
          <w:p>
            <w:pPr>
              <w:ind w:firstLine="420" w:firstLineChars="200"/>
              <w:rPr>
                <w:szCs w:val="21"/>
              </w:rPr>
            </w:pPr>
            <w:r>
              <w:rPr>
                <w:rFonts w:hint="eastAsia"/>
                <w:szCs w:val="21"/>
              </w:rPr>
              <w:t>企业经过策划，采用对产品的监视和测量，对不合格品控制等来证实产品的符合性。</w:t>
            </w:r>
          </w:p>
          <w:p>
            <w:pPr>
              <w:ind w:firstLine="420" w:firstLineChars="200"/>
              <w:rPr>
                <w:szCs w:val="21"/>
              </w:rPr>
            </w:pPr>
            <w:r>
              <w:rPr>
                <w:rFonts w:hint="eastAsia"/>
                <w:szCs w:val="21"/>
              </w:rPr>
              <w:t>企业制定《不符合控制程序》、《纠正措施控制程序》等，通过分析实际存在的或潜在的不符合的原因，制定纠正和预防措施，并验证其效果，以防止不符合的发生／再发生，实现持续改进绩效的目的。</w:t>
            </w:r>
          </w:p>
          <w:p>
            <w:pPr>
              <w:ind w:firstLine="420" w:firstLineChars="200"/>
              <w:rPr>
                <w:szCs w:val="21"/>
              </w:rPr>
            </w:pPr>
            <w:r>
              <w:rPr>
                <w:rFonts w:hint="eastAsia"/>
                <w:szCs w:val="21"/>
              </w:rPr>
              <w:t>对内审中的不符合，采取了纠正措施，并验证；</w:t>
            </w:r>
          </w:p>
          <w:p>
            <w:pPr>
              <w:ind w:firstLine="420" w:firstLineChars="200"/>
              <w:rPr>
                <w:szCs w:val="21"/>
              </w:rPr>
            </w:pPr>
            <w:r>
              <w:rPr>
                <w:rFonts w:hint="eastAsia"/>
                <w:szCs w:val="21"/>
              </w:rPr>
              <w:t>为保证公司职业健康安全管理体系的有效运行，通过对安全事件的调查处理，以确保管理体系运行的有效性。</w:t>
            </w:r>
          </w:p>
          <w:p>
            <w:pPr>
              <w:ind w:firstLine="420" w:firstLineChars="200"/>
              <w:rPr>
                <w:szCs w:val="21"/>
              </w:rPr>
            </w:pPr>
            <w:r>
              <w:rPr>
                <w:rFonts w:hint="eastAsia"/>
                <w:szCs w:val="21"/>
              </w:rPr>
              <w:t>经查在公司正常经营活动中，出现了轻微不符合，部门已经采取纠正和纠正措施，经验证纠正措施有效。</w:t>
            </w:r>
          </w:p>
          <w:p>
            <w:pPr>
              <w:ind w:firstLine="420" w:firstLineChars="200"/>
              <w:rPr>
                <w:szCs w:val="21"/>
              </w:rPr>
            </w:pPr>
            <w:r>
              <w:rPr>
                <w:rFonts w:hint="eastAsia"/>
                <w:szCs w:val="21"/>
              </w:rPr>
              <w:t>公司家具生产和销售活动未发生过环境、安全等事故。</w:t>
            </w:r>
          </w:p>
          <w:p>
            <w:pPr>
              <w:pStyle w:val="12"/>
              <w:rPr>
                <w:bCs w:val="0"/>
                <w:spacing w:val="0"/>
                <w:szCs w:val="21"/>
              </w:rPr>
            </w:pPr>
            <w:r>
              <w:rPr>
                <w:rFonts w:hint="eastAsia"/>
                <w:bCs w:val="0"/>
                <w:spacing w:val="0"/>
                <w:szCs w:val="21"/>
              </w:rPr>
              <w:t>查持续改进：</w:t>
            </w:r>
          </w:p>
          <w:p>
            <w:pPr>
              <w:pStyle w:val="12"/>
              <w:rPr>
                <w:szCs w:val="21"/>
              </w:rPr>
            </w:pPr>
            <w:r>
              <w:rPr>
                <w:rFonts w:hint="eastAsia"/>
                <w:szCs w:val="21"/>
              </w:rPr>
              <w:t>公司利用质量/环境/职业健康安全方针、质量/环境/职业健康安全目标、审核结果、资料分析、纠正和持续改进以及管理评审等活动，以确定是否存在持续改进的需求和机会，以持续改进质量/环境/职业健康安全管理体系的适宜性、充分性和有效性。</w:t>
            </w:r>
          </w:p>
          <w:p>
            <w:pPr>
              <w:ind w:firstLine="420" w:firstLineChars="200"/>
              <w:rPr>
                <w:rFonts w:ascii="宋体" w:hAnsi="宋体" w:cs="宋体"/>
                <w:szCs w:val="21"/>
              </w:rPr>
            </w:pPr>
            <w:r>
              <w:rPr>
                <w:rFonts w:hint="eastAsia"/>
                <w:szCs w:val="21"/>
              </w:rPr>
              <w:t>管理评审提出改进措施正在实施过程中。</w:t>
            </w:r>
          </w:p>
        </w:tc>
        <w:tc>
          <w:tcPr>
            <w:tcW w:w="895" w:type="dxa"/>
          </w:tcPr>
          <w:p/>
        </w:tc>
      </w:tr>
    </w:tbl>
    <w:p>
      <w:r>
        <w:ptab w:relativeTo="margin" w:alignment="center" w:leader="none"/>
      </w:r>
    </w:p>
    <w:p>
      <w:pPr>
        <w:pStyle w:val="8"/>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13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13</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2"/>
      <w:pBdr>
        <w:bottom w:val="none" w:color="auto" w:sz="0" w:space="1"/>
      </w:pBdr>
      <w:spacing w:line="320" w:lineRule="exact"/>
      <w:jc w:val="left"/>
    </w:pPr>
    <w:r>
      <w:pict>
        <v:shape id="文本框 1" o:spid="_x0000_s4097"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ISC-B-I-19 管理体系审核记录表(03版)</w:t>
                </w:r>
              </w:p>
            </w:txbxContent>
          </v:textbox>
        </v:shape>
      </w:pict>
    </w:r>
    <w:r>
      <w:rPr>
        <w:rStyle w:val="16"/>
        <w:rFonts w:hint="default"/>
        <w:w w:val="90"/>
      </w:rPr>
      <w:t>Beijing International Standard united Certification Co.,Ltd.</w:t>
    </w:r>
  </w:p>
  <w:p>
    <w:pPr>
      <w:pStyle w:val="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153FF4"/>
    <w:multiLevelType w:val="multilevel"/>
    <w:tmpl w:val="5D153FF4"/>
    <w:lvl w:ilvl="0" w:tentative="0">
      <w:start w:val="1"/>
      <w:numFmt w:val="lowerLetter"/>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7D62BD6A"/>
    <w:multiLevelType w:val="singleLevel"/>
    <w:tmpl w:val="7D62BD6A"/>
    <w:lvl w:ilvl="0" w:tentative="0">
      <w:start w:val="1"/>
      <w:numFmt w:val="decimal"/>
      <w:lvlText w:val="%1."/>
      <w:lvlJc w:val="left"/>
      <w:pPr>
        <w:tabs>
          <w:tab w:val="left" w:pos="312"/>
        </w:tabs>
      </w:pPr>
    </w:lvl>
  </w:abstractNum>
  <w:abstractNum w:abstractNumId="2">
    <w:nsid w:val="7FDEE28D"/>
    <w:multiLevelType w:val="singleLevel"/>
    <w:tmpl w:val="7FDEE28D"/>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17A34"/>
    <w:rsid w:val="000237F6"/>
    <w:rsid w:val="00024C50"/>
    <w:rsid w:val="0003373A"/>
    <w:rsid w:val="00036143"/>
    <w:rsid w:val="00071661"/>
    <w:rsid w:val="00090528"/>
    <w:rsid w:val="000A53EB"/>
    <w:rsid w:val="000B0723"/>
    <w:rsid w:val="00181E98"/>
    <w:rsid w:val="001A2D7F"/>
    <w:rsid w:val="001E6B5E"/>
    <w:rsid w:val="001F0932"/>
    <w:rsid w:val="002426BC"/>
    <w:rsid w:val="002539A0"/>
    <w:rsid w:val="00292C83"/>
    <w:rsid w:val="002B311A"/>
    <w:rsid w:val="002E1F88"/>
    <w:rsid w:val="003022CC"/>
    <w:rsid w:val="00337922"/>
    <w:rsid w:val="00340867"/>
    <w:rsid w:val="00366399"/>
    <w:rsid w:val="00375E04"/>
    <w:rsid w:val="00380837"/>
    <w:rsid w:val="00384E2C"/>
    <w:rsid w:val="003A198A"/>
    <w:rsid w:val="003B3E99"/>
    <w:rsid w:val="00410914"/>
    <w:rsid w:val="00440658"/>
    <w:rsid w:val="00464DDE"/>
    <w:rsid w:val="004674DB"/>
    <w:rsid w:val="00470352"/>
    <w:rsid w:val="00484369"/>
    <w:rsid w:val="004B720C"/>
    <w:rsid w:val="004E5837"/>
    <w:rsid w:val="00536930"/>
    <w:rsid w:val="00564E53"/>
    <w:rsid w:val="0060324D"/>
    <w:rsid w:val="00644FE2"/>
    <w:rsid w:val="00646FEC"/>
    <w:rsid w:val="00662A0A"/>
    <w:rsid w:val="00674B11"/>
    <w:rsid w:val="0067640C"/>
    <w:rsid w:val="006836CF"/>
    <w:rsid w:val="006E678B"/>
    <w:rsid w:val="006F2701"/>
    <w:rsid w:val="0072416A"/>
    <w:rsid w:val="007757F3"/>
    <w:rsid w:val="00792877"/>
    <w:rsid w:val="007A1DA8"/>
    <w:rsid w:val="007A5046"/>
    <w:rsid w:val="007D25D3"/>
    <w:rsid w:val="007E6AEB"/>
    <w:rsid w:val="007F14F1"/>
    <w:rsid w:val="008012C2"/>
    <w:rsid w:val="00815D2E"/>
    <w:rsid w:val="00825954"/>
    <w:rsid w:val="00862507"/>
    <w:rsid w:val="008973EE"/>
    <w:rsid w:val="00971600"/>
    <w:rsid w:val="00976228"/>
    <w:rsid w:val="009973B4"/>
    <w:rsid w:val="009C28C1"/>
    <w:rsid w:val="009E5A60"/>
    <w:rsid w:val="009F0149"/>
    <w:rsid w:val="009F2F86"/>
    <w:rsid w:val="009F7EED"/>
    <w:rsid w:val="00A02F21"/>
    <w:rsid w:val="00A276A6"/>
    <w:rsid w:val="00A3294E"/>
    <w:rsid w:val="00A51134"/>
    <w:rsid w:val="00AF0AAB"/>
    <w:rsid w:val="00B1087D"/>
    <w:rsid w:val="00B160FB"/>
    <w:rsid w:val="00B16488"/>
    <w:rsid w:val="00B1795C"/>
    <w:rsid w:val="00B32E56"/>
    <w:rsid w:val="00B475D1"/>
    <w:rsid w:val="00B6150E"/>
    <w:rsid w:val="00B73A93"/>
    <w:rsid w:val="00B95A05"/>
    <w:rsid w:val="00BB0BC9"/>
    <w:rsid w:val="00BC6844"/>
    <w:rsid w:val="00BE29A2"/>
    <w:rsid w:val="00BF597E"/>
    <w:rsid w:val="00C5177A"/>
    <w:rsid w:val="00C51A36"/>
    <w:rsid w:val="00C55228"/>
    <w:rsid w:val="00C80696"/>
    <w:rsid w:val="00CA1D28"/>
    <w:rsid w:val="00CD0F2B"/>
    <w:rsid w:val="00CD278B"/>
    <w:rsid w:val="00CE315A"/>
    <w:rsid w:val="00CF776D"/>
    <w:rsid w:val="00D06F59"/>
    <w:rsid w:val="00D11C38"/>
    <w:rsid w:val="00D77D72"/>
    <w:rsid w:val="00D8388C"/>
    <w:rsid w:val="00DA2A63"/>
    <w:rsid w:val="00DB65E4"/>
    <w:rsid w:val="00DF2EA5"/>
    <w:rsid w:val="00E7307B"/>
    <w:rsid w:val="00E754A7"/>
    <w:rsid w:val="00E80CCA"/>
    <w:rsid w:val="00E93330"/>
    <w:rsid w:val="00E954C4"/>
    <w:rsid w:val="00EB0164"/>
    <w:rsid w:val="00ED0F62"/>
    <w:rsid w:val="00F305C2"/>
    <w:rsid w:val="00F95653"/>
    <w:rsid w:val="00FC02C4"/>
    <w:rsid w:val="00FD726A"/>
    <w:rsid w:val="00FF050E"/>
    <w:rsid w:val="02B84719"/>
    <w:rsid w:val="02FA6253"/>
    <w:rsid w:val="032C3757"/>
    <w:rsid w:val="036603D4"/>
    <w:rsid w:val="04617F72"/>
    <w:rsid w:val="04C04927"/>
    <w:rsid w:val="05B11F2A"/>
    <w:rsid w:val="06400A4B"/>
    <w:rsid w:val="06E01EC3"/>
    <w:rsid w:val="09535250"/>
    <w:rsid w:val="09806D23"/>
    <w:rsid w:val="0AB61C3C"/>
    <w:rsid w:val="0B156FC6"/>
    <w:rsid w:val="0B256D46"/>
    <w:rsid w:val="0BB74A17"/>
    <w:rsid w:val="0C1821A1"/>
    <w:rsid w:val="0C5F0639"/>
    <w:rsid w:val="0C85106D"/>
    <w:rsid w:val="0D66233C"/>
    <w:rsid w:val="0D8B1FB3"/>
    <w:rsid w:val="0F6442AD"/>
    <w:rsid w:val="0FDA7F53"/>
    <w:rsid w:val="108219C2"/>
    <w:rsid w:val="11705116"/>
    <w:rsid w:val="15110FDA"/>
    <w:rsid w:val="155A19C5"/>
    <w:rsid w:val="17B20018"/>
    <w:rsid w:val="18DB38B5"/>
    <w:rsid w:val="1A120A39"/>
    <w:rsid w:val="1AD215C7"/>
    <w:rsid w:val="1B2C7B1C"/>
    <w:rsid w:val="1E295883"/>
    <w:rsid w:val="1E565434"/>
    <w:rsid w:val="1E90527F"/>
    <w:rsid w:val="21747ECE"/>
    <w:rsid w:val="22017E7F"/>
    <w:rsid w:val="23544896"/>
    <w:rsid w:val="235E7C88"/>
    <w:rsid w:val="246B6135"/>
    <w:rsid w:val="24FE116D"/>
    <w:rsid w:val="26E4625C"/>
    <w:rsid w:val="27B53290"/>
    <w:rsid w:val="28A46FFC"/>
    <w:rsid w:val="29A06FDB"/>
    <w:rsid w:val="2A134B34"/>
    <w:rsid w:val="2A712F0F"/>
    <w:rsid w:val="2B2E2752"/>
    <w:rsid w:val="2B9022F9"/>
    <w:rsid w:val="2BFC024F"/>
    <w:rsid w:val="2C9B1E1D"/>
    <w:rsid w:val="2F4B0E69"/>
    <w:rsid w:val="30D16CC5"/>
    <w:rsid w:val="31C028B0"/>
    <w:rsid w:val="37476F8A"/>
    <w:rsid w:val="38610411"/>
    <w:rsid w:val="38AA56C2"/>
    <w:rsid w:val="38E10519"/>
    <w:rsid w:val="39827C37"/>
    <w:rsid w:val="3C125F9B"/>
    <w:rsid w:val="3C1959EB"/>
    <w:rsid w:val="3D2F613A"/>
    <w:rsid w:val="3E1444F6"/>
    <w:rsid w:val="3F3B2173"/>
    <w:rsid w:val="40715AC8"/>
    <w:rsid w:val="40B67F76"/>
    <w:rsid w:val="415E2F32"/>
    <w:rsid w:val="41E277AB"/>
    <w:rsid w:val="429A35A3"/>
    <w:rsid w:val="435C1130"/>
    <w:rsid w:val="442828E9"/>
    <w:rsid w:val="45E771C0"/>
    <w:rsid w:val="49BA3960"/>
    <w:rsid w:val="4A0F666A"/>
    <w:rsid w:val="4B4B30DE"/>
    <w:rsid w:val="4BFA763C"/>
    <w:rsid w:val="4C4035AE"/>
    <w:rsid w:val="4DDC3C53"/>
    <w:rsid w:val="4F7F35B2"/>
    <w:rsid w:val="52B24340"/>
    <w:rsid w:val="56311B54"/>
    <w:rsid w:val="5949498B"/>
    <w:rsid w:val="59A85EFD"/>
    <w:rsid w:val="5D86343D"/>
    <w:rsid w:val="5DB12D14"/>
    <w:rsid w:val="5EA12B9A"/>
    <w:rsid w:val="5EC928D3"/>
    <w:rsid w:val="5F425B73"/>
    <w:rsid w:val="5F5C48D2"/>
    <w:rsid w:val="5F6A1134"/>
    <w:rsid w:val="5F8E191F"/>
    <w:rsid w:val="5F9641CD"/>
    <w:rsid w:val="628D2779"/>
    <w:rsid w:val="628D5F03"/>
    <w:rsid w:val="64F43146"/>
    <w:rsid w:val="654A5507"/>
    <w:rsid w:val="658C10F3"/>
    <w:rsid w:val="65CA104B"/>
    <w:rsid w:val="66356363"/>
    <w:rsid w:val="66972AAF"/>
    <w:rsid w:val="677E4DCB"/>
    <w:rsid w:val="68BB08C9"/>
    <w:rsid w:val="6A4140D3"/>
    <w:rsid w:val="6A5D69B2"/>
    <w:rsid w:val="6A7021FA"/>
    <w:rsid w:val="6C093A05"/>
    <w:rsid w:val="6DA65F1D"/>
    <w:rsid w:val="6E031C73"/>
    <w:rsid w:val="6E116960"/>
    <w:rsid w:val="6E6B6A6E"/>
    <w:rsid w:val="6EE8797B"/>
    <w:rsid w:val="6FF46E59"/>
    <w:rsid w:val="7051627C"/>
    <w:rsid w:val="70CA3520"/>
    <w:rsid w:val="73473FB6"/>
    <w:rsid w:val="73E237A4"/>
    <w:rsid w:val="73E9008B"/>
    <w:rsid w:val="76C24502"/>
    <w:rsid w:val="772935FE"/>
    <w:rsid w:val="7A0E74A5"/>
    <w:rsid w:val="7A42130E"/>
    <w:rsid w:val="7B53369F"/>
    <w:rsid w:val="7B760BF0"/>
    <w:rsid w:val="7B8757FC"/>
    <w:rsid w:val="7C046C2A"/>
    <w:rsid w:val="7C483276"/>
    <w:rsid w:val="7C4D08BC"/>
    <w:rsid w:val="7DAC6B0C"/>
    <w:rsid w:val="7DAD46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19"/>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tabs>
        <w:tab w:val="left" w:pos="3510"/>
        <w:tab w:val="left" w:pos="3585"/>
        <w:tab w:val="center" w:pos="4410"/>
        <w:tab w:val="left" w:pos="4620"/>
        <w:tab w:val="left" w:pos="4830"/>
        <w:tab w:val="left" w:pos="5580"/>
      </w:tabs>
      <w:outlineLvl w:val="1"/>
    </w:pPr>
    <w:rPr>
      <w:rFonts w:ascii="Calibri" w:hAnsi="Calibri"/>
      <w:b/>
      <w:bCs/>
      <w:sz w:val="32"/>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Indent"/>
    <w:basedOn w:val="1"/>
    <w:qFormat/>
    <w:uiPriority w:val="0"/>
    <w:pPr>
      <w:ind w:firstLine="560" w:firstLineChars="200"/>
    </w:pPr>
    <w:rPr>
      <w:rFonts w:ascii="宋体" w:hAnsi="宋体"/>
      <w:color w:val="FF0000"/>
      <w:sz w:val="28"/>
    </w:rPr>
  </w:style>
  <w:style w:type="paragraph" w:styleId="6">
    <w:name w:val="Plain Text"/>
    <w:basedOn w:val="1"/>
    <w:qFormat/>
    <w:uiPriority w:val="0"/>
    <w:rPr>
      <w:rFonts w:ascii="宋体" w:hAnsi="Courier New"/>
      <w:sz w:val="24"/>
    </w:rPr>
  </w:style>
  <w:style w:type="paragraph" w:styleId="7">
    <w:name w:val="Balloon Text"/>
    <w:basedOn w:val="1"/>
    <w:link w:val="15"/>
    <w:semiHidden/>
    <w:unhideWhenUsed/>
    <w:qFormat/>
    <w:uiPriority w:val="99"/>
    <w:rPr>
      <w:sz w:val="18"/>
      <w:szCs w:val="18"/>
    </w:rPr>
  </w:style>
  <w:style w:type="paragraph" w:styleId="8">
    <w:name w:val="footer"/>
    <w:basedOn w:val="1"/>
    <w:link w:val="14"/>
    <w:unhideWhenUsed/>
    <w:qFormat/>
    <w:uiPriority w:val="99"/>
    <w:pPr>
      <w:tabs>
        <w:tab w:val="center" w:pos="4153"/>
        <w:tab w:val="right" w:pos="8306"/>
      </w:tabs>
      <w:snapToGrid w:val="0"/>
      <w:jc w:val="left"/>
    </w:pPr>
    <w:rPr>
      <w:sz w:val="18"/>
      <w:szCs w:val="18"/>
    </w:rPr>
  </w:style>
  <w:style w:type="paragraph" w:styleId="9">
    <w:name w:val="Body Text First Indent 2"/>
    <w:basedOn w:val="5"/>
    <w:qFormat/>
    <w:uiPriority w:val="0"/>
    <w:pPr>
      <w:ind w:firstLine="420"/>
      <w:jc w:val="left"/>
    </w:pPr>
    <w:rPr>
      <w:rFonts w:eastAsia="仿宋_GB2312"/>
      <w:color w:val="000000"/>
    </w:rPr>
  </w:style>
  <w:style w:type="paragraph" w:customStyle="1" w:styleId="12">
    <w:name w:val="表格文字"/>
    <w:basedOn w:val="1"/>
    <w:qFormat/>
    <w:uiPriority w:val="0"/>
    <w:pPr>
      <w:spacing w:before="25" w:after="25"/>
    </w:pPr>
    <w:rPr>
      <w:bCs/>
      <w:spacing w:val="10"/>
    </w:rPr>
  </w:style>
  <w:style w:type="character" w:customStyle="1" w:styleId="13">
    <w:name w:val="页眉 Char"/>
    <w:basedOn w:val="11"/>
    <w:link w:val="2"/>
    <w:qFormat/>
    <w:uiPriority w:val="99"/>
    <w:rPr>
      <w:rFonts w:ascii="Times New Roman" w:hAnsi="Times New Roman" w:eastAsia="宋体" w:cs="Times New Roman"/>
      <w:sz w:val="18"/>
      <w:szCs w:val="18"/>
    </w:rPr>
  </w:style>
  <w:style w:type="character" w:customStyle="1" w:styleId="14">
    <w:name w:val="页脚 Char"/>
    <w:basedOn w:val="11"/>
    <w:link w:val="8"/>
    <w:qFormat/>
    <w:uiPriority w:val="99"/>
    <w:rPr>
      <w:rFonts w:ascii="Times New Roman" w:hAnsi="Times New Roman" w:eastAsia="宋体" w:cs="Times New Roman"/>
      <w:sz w:val="18"/>
      <w:szCs w:val="18"/>
    </w:rPr>
  </w:style>
  <w:style w:type="character" w:customStyle="1" w:styleId="15">
    <w:name w:val="批注框文本 Char"/>
    <w:basedOn w:val="11"/>
    <w:link w:val="7"/>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_Style 2"/>
    <w:basedOn w:val="1"/>
    <w:qFormat/>
    <w:uiPriority w:val="34"/>
    <w:pPr>
      <w:widowControl/>
      <w:ind w:firstLine="420" w:firstLineChars="200"/>
      <w:jc w:val="left"/>
    </w:pPr>
    <w:rPr>
      <w:kern w:val="0"/>
      <w:sz w:val="20"/>
      <w:lang w:eastAsia="en-US"/>
    </w:rPr>
  </w:style>
  <w:style w:type="character" w:customStyle="1" w:styleId="18">
    <w:name w:val="info-content-text"/>
    <w:uiPriority w:val="0"/>
  </w:style>
  <w:style w:type="character" w:customStyle="1" w:styleId="19">
    <w:name w:val="标题 1 Char"/>
    <w:basedOn w:val="11"/>
    <w:link w:val="3"/>
    <w:uiPriority w:val="0"/>
    <w:rPr>
      <w:b/>
      <w:bCs/>
      <w:kern w:val="44"/>
      <w:sz w:val="44"/>
      <w:szCs w:val="44"/>
    </w:rPr>
  </w:style>
  <w:style w:type="paragraph" w:styleId="20">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D6241C-A5A8-4A56-8A1B-A9D58B9DB204}">
  <ds:schemaRefs/>
</ds:datastoreItem>
</file>

<file path=docProps/app.xml><?xml version="1.0" encoding="utf-8"?>
<Properties xmlns="http://schemas.openxmlformats.org/officeDocument/2006/extended-properties" xmlns:vt="http://schemas.openxmlformats.org/officeDocument/2006/docPropsVTypes">
  <Template>Normal</Template>
  <Pages>13</Pages>
  <Words>1205</Words>
  <Characters>6873</Characters>
  <Lines>57</Lines>
  <Paragraphs>16</Paragraphs>
  <TotalTime>392</TotalTime>
  <ScaleCrop>false</ScaleCrop>
  <LinksUpToDate>false</LinksUpToDate>
  <CharactersWithSpaces>8062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Joyce</cp:lastModifiedBy>
  <dcterms:modified xsi:type="dcterms:W3CDTF">2020-08-11T10:43:01Z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