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0077-2019-2020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255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1134"/>
        <w:gridCol w:w="1276"/>
        <w:gridCol w:w="1237"/>
        <w:gridCol w:w="1543"/>
        <w:gridCol w:w="15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次要不符合数量</w:t>
            </w: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主要不符合数量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4.总要求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5.1 计量职能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5.2 以顾客为关注焦点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5.3 质量目标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5.4 管理评审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6.1人力资源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6.1.1人员的职责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6.1.2能力和培训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不符合项03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6.2信息资源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6.2.1程序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6.2.2软件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6.2.3记录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6.2.4标识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 物资资源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6.3.1测量设备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6.3.2环境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不符合项02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6.4外部供方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7.1计量确认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7.1.1 总则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7.1.2 计量确认间隔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7.1.3设备调整控制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7.1.4计量确认过程记录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不符合项01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  <w:u w:val="none"/>
                <w:lang w:val="en-US" w:eastAsia="zh-CN"/>
              </w:rPr>
              <w:t>《计量法》第二章第九条强制检定的要求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hint="eastAsia"/>
              </w:rPr>
              <w:t>汇总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3</w:t>
            </w:r>
            <w:bookmarkStart w:id="1" w:name="_GoBack"/>
            <w:bookmarkEnd w:id="1"/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ind w:firstLine="840" w:firstLineChars="4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2020.8.2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7E15E0"/>
    <w:rsid w:val="13ED1A6A"/>
    <w:rsid w:val="22230182"/>
    <w:rsid w:val="51A3620E"/>
    <w:rsid w:val="537C2E58"/>
    <w:rsid w:val="7F9737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2020-08-02T02:48:24Z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