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21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1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受审核部门：主管领导/陪同人员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0" w:type="dxa"/>
            <w:vMerge w:val="continue"/>
            <w:vAlign w:val="center"/>
          </w:tcPr>
          <w:p/>
        </w:tc>
        <w:tc>
          <w:tcPr>
            <w:tcW w:w="121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林兵、任泽华、王央央、高粲淼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2020年7月27日~7月28日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10" w:type="dxa"/>
            <w:vMerge w:val="continue"/>
            <w:vAlign w:val="center"/>
          </w:tcPr>
          <w:p/>
        </w:tc>
        <w:tc>
          <w:tcPr>
            <w:tcW w:w="121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1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现场巡视：办公场所</w:t>
            </w:r>
          </w:p>
        </w:tc>
        <w:tc>
          <w:tcPr>
            <w:tcW w:w="12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Q7.1.3/7.1.4/8.1/8.5.1/8.5.2/8.5.4/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E/O：8.1</w:t>
            </w:r>
          </w:p>
        </w:tc>
        <w:tc>
          <w:tcPr>
            <w:tcW w:w="10004" w:type="dxa"/>
          </w:tcPr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办公声所位于江干区钱塘路铭鑫大厦19楼，1901；铭鑫大厦为办公写字楼，大楼东面和南面为居民楼，北面为写字楼，西边为马路。公司无统一食堂。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大楼物业为杭州瑞滨物业管理有限公司；用电安全、大楼消防由物业公司负责。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有垃圾分类标识；公共区域配置灭火器材，有月检记录。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公司标识明显，无明显部门区域划分。</w:t>
            </w:r>
          </w:p>
          <w:p>
            <w:pPr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办公环境较为整洁，地面为办公用地毯。无裸露电线情况。</w:t>
            </w:r>
          </w:p>
          <w:p>
            <w:pPr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1901办公场所内，200多平方，设置消防灭火器4个。</w:t>
            </w:r>
          </w:p>
          <w:p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58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1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管理层/综合管理部：公司基本情况；方针、目标等</w:t>
            </w:r>
          </w:p>
        </w:tc>
        <w:tc>
          <w:tcPr>
            <w:tcW w:w="1210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QEO:5.2/5.3/6.2/7.5/9.2/9.3/</w:t>
            </w:r>
          </w:p>
        </w:tc>
        <w:tc>
          <w:tcPr>
            <w:tcW w:w="10004" w:type="dxa"/>
          </w:tcPr>
          <w:p>
            <w:pPr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创建于2018年7月02日成立，注册资本2000万元，是一家致力于铝模板设计、租赁、技术服务为一体的专业铝模公司。注册地为浙江省杭州市富阳区新登镇新登新区永隆路16号，办公地址：杭州市江干区钱潮路618号铭鑫大厦1901、1905号。</w:t>
            </w:r>
          </w:p>
          <w:p>
            <w:pPr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   三体系2020-3-2开始运行，无删减。外包过程为运输过程。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总经理：郭华厅；管理者代表：李亚男；员工代表：周姜杭；企业人数59人，全部为市场管理技术人员；公司设置部门有总经理、管理者代表、综合管理部、设计管理部、资产部、市场管理部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、商务管理部、物资管理部、工程管理部、财务部。</w:t>
            </w:r>
          </w:p>
          <w:p>
            <w:pPr>
              <w:ind w:firstLine="210" w:firstLineChars="1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环境和职业健康安全关键场所为办公及人员外出、人员进入客户工地技术指导；</w:t>
            </w:r>
          </w:p>
          <w:p>
            <w:r>
              <w:rPr>
                <w:rFonts w:hint="eastAsia"/>
                <w:szCs w:val="22"/>
                <w:lang w:val="en-US" w:eastAsia="zh-CN"/>
              </w:rPr>
              <w:t>认证范围为：</w:t>
            </w:r>
            <w:bookmarkStart w:id="0" w:name="审核范围"/>
            <w:r>
              <w:t>Q：铝合金模板销租赁</w:t>
            </w:r>
          </w:p>
          <w:p>
            <w:r>
              <w:t>E：铝合金模板的租赁及相关环境管理活动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t>O：铝合金模板租赁及相关职业健康安全管理活动</w:t>
            </w:r>
            <w:bookmarkEnd w:id="0"/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环境和安全《适用的法律法规与其它要求清单》，环境相关法规共列入57项，安全相关法规清单文件有63项；从列入的法规来看，引用比较齐全，但部分法规的适用性与组织的活动不相适应，如《危险化学品安全管理条例》、《危险废物转移联单管理办法》、《危险化学品名录》等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质量、环境和职业健康安全方针：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科学管理，提高顾客满意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环境、职业健康安全方针：创建安全健康、绿色环保型企业。</w:t>
            </w:r>
          </w:p>
          <w:p>
            <w:pPr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</w:t>
            </w:r>
            <w:r>
              <w:rPr>
                <w:rFonts w:hint="eastAsia"/>
                <w:szCs w:val="22"/>
                <w:lang w:val="en-US" w:eastAsia="zh-CN"/>
              </w:rPr>
              <w:t>管理目标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一、质量目标：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1、产品效果合格率≥98%；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2、顾客满意率≥95%  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二、环境目标：遵守法律法规，坚持以节约、高效、环保为核心的商业模式，满足环境规定要求，确保社会和相关方满意。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指标：各类废弃物按规定处置率100%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三、职业健康安全目标：确保员工职业健康安全.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     指标：重大安全事故为0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内审时间2020-6-9~10；审核覆盖标准全条款；覆盖全部门；内审员：周宇、孟彤；审核员分工和时间分配合理；审核结论：</w:t>
            </w:r>
            <w:r>
              <w:rPr>
                <w:rFonts w:hint="eastAsia" w:ascii="宋体" w:hAnsi="宋体"/>
                <w:u w:val="single"/>
              </w:rPr>
              <w:t>公司的管理体系符合标准要求，体系运行有效。</w:t>
            </w:r>
          </w:p>
          <w:p>
            <w:pPr>
              <w:ind w:firstLine="210" w:firstLineChars="10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管理评审时间：2020-6-23；由郭华厅总经理主持 ；管理评审结论：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QEO基本有效、充分和适宜</w:t>
            </w:r>
            <w:r>
              <w:rPr>
                <w:rFonts w:hint="eastAsia" w:ascii="宋体" w:hAnsi="宋体"/>
                <w:u w:val="single"/>
              </w:rPr>
              <w:t>。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执行改进建议，加力QEO改进力度，以确保QEO整体绩效的提高。</w:t>
            </w:r>
          </w:p>
          <w:p>
            <w:pPr>
              <w:ind w:firstLine="210" w:firstLineChars="100"/>
              <w:rPr>
                <w:rFonts w:hint="default"/>
                <w:szCs w:val="22"/>
                <w:lang w:val="en-US" w:eastAsia="zh-CN"/>
              </w:rPr>
            </w:pP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91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综合管理部、设计管理部、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资产部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商务管理部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市场管理部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物资管理部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工程管理部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lang w:val="en-US" w:eastAsia="zh-CN"/>
              </w:rPr>
              <w:t>：环境因素和重要环境因素，危险源和不可接受风险</w:t>
            </w:r>
          </w:p>
        </w:tc>
        <w:tc>
          <w:tcPr>
            <w:tcW w:w="121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Q:4.1/8.1；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EO:6.1.2/6.1.4/8.1/8.2</w:t>
            </w:r>
          </w:p>
        </w:tc>
        <w:tc>
          <w:tcPr>
            <w:tcW w:w="10004" w:type="dxa"/>
          </w:tcPr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提供《组织的内外重要环境因素分析表》，确定了公司相关的内外部因素。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重要过程：设计过程（按客户要求制作铝模板施工及产品图纸），租赁实施过程；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环境因素：按活动区域，共识别了办公区域、技术人员外出、相关方区域等38项环境因素，重要环境因素4项：危险固废的排放、水、电消耗、潜在火灾、生活垃圾的排放。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重大危险源:识别了按活动区域，共识别了办公区域、技术人员外出、相关方区域等41项危险源；列入不可接受风险3项，触电（私拉电线、设备漏电、违章作业等）、潜在火灾事故（电线老化；易燃处吸烟、动火等）交通事故、意外工伤事故 。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重要环境因素和不可接受风险，主要集中在办公区域。各个部门的环境因素和危险源类似。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租赁过程主要按与客户签定的合同执行。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公司制定YH/EOC-8.1《管理制度汇编》，规定了《节能降耗管理制度》、《相关方管理办法》、《固体废弃物管理规定》、《污水排放管理规定》、《消防设施管理规定》、《处置突发事件和抗灾抢险应急预案》等9个文件。并提供检查记录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提供应急准备和响应资料，公司编制了《触电应急预案》、《中暑应急预案》、《火灾应急预案》等7个应急预案。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提供《消防灭火演练》现场记录，2020年4月20日上午；《医疗急救》现场记录，2020年4月20日下午。</w:t>
            </w: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2019年度统计劳保用品发放约11618元。</w:t>
            </w:r>
          </w:p>
          <w:p>
            <w:pPr>
              <w:pStyle w:val="2"/>
              <w:numPr>
                <w:numId w:val="0"/>
              </w:numPr>
              <w:ind w:leftChars="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租赁服务过程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商务管理部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市场管理部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确定合同订单后，与客户签订设备租赁合同，按项目工程方案转交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设计管理部，依据客户（施工方）要求，使用CAD/BIM软件以及部分插件，输入工程建筑图纸、结构图纸、铝模板技术规程、深化设计规范、以往的图纸等信息，使用CAD软件，形成深化设计图并经客户参与评审，确定数据相关，再使用BIM软件，模拟铝模版的加固系统、支撑系统、坚固系统和尺寸等，并经难度系统插件计算验证后，输出图纸，交物资管理部，由物资管理部交供方下单，并与供方签订下单租赁合同，由工程管理部在供方现场预拼装验证后，外包运输方运到合同规定的指定项目，必要时，远程或现场进行项目安装技术指导，项目结束后，由公司负责外包运输方运回供方单位。</w:t>
            </w:r>
          </w:p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szCs w:val="22"/>
                <w:lang w:val="en-US" w:eastAsia="zh-CN"/>
              </w:rPr>
            </w:pP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OK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1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4" w:type="dxa"/>
          </w:tcPr>
          <w:p>
            <w:pPr>
              <w:adjustRightInd w:val="0"/>
              <w:spacing w:line="360" w:lineRule="auto"/>
              <w:jc w:val="left"/>
              <w:rPr>
                <w:rFonts w:hint="default" w:ascii="宋体" w:hAnsi="宋体"/>
                <w:szCs w:val="22"/>
                <w:lang w:val="en-US" w:eastAsia="zh-CN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2D1B"/>
    <w:multiLevelType w:val="multilevel"/>
    <w:tmpl w:val="59F02D1B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AA7781"/>
    <w:rsid w:val="07457879"/>
    <w:rsid w:val="0813160D"/>
    <w:rsid w:val="0CB77A0D"/>
    <w:rsid w:val="0D0866F0"/>
    <w:rsid w:val="12060174"/>
    <w:rsid w:val="12310223"/>
    <w:rsid w:val="12386D69"/>
    <w:rsid w:val="134456FA"/>
    <w:rsid w:val="14066E91"/>
    <w:rsid w:val="1654056F"/>
    <w:rsid w:val="1784433E"/>
    <w:rsid w:val="17B4202C"/>
    <w:rsid w:val="1AF74611"/>
    <w:rsid w:val="23161FE6"/>
    <w:rsid w:val="26AF4DE9"/>
    <w:rsid w:val="2C2654EF"/>
    <w:rsid w:val="33776C2E"/>
    <w:rsid w:val="35B551CE"/>
    <w:rsid w:val="39523058"/>
    <w:rsid w:val="3BF3531A"/>
    <w:rsid w:val="401A6F93"/>
    <w:rsid w:val="43C545C2"/>
    <w:rsid w:val="47803C30"/>
    <w:rsid w:val="48617B09"/>
    <w:rsid w:val="491306D2"/>
    <w:rsid w:val="494C721F"/>
    <w:rsid w:val="4AB0393A"/>
    <w:rsid w:val="514A7B87"/>
    <w:rsid w:val="51925BD4"/>
    <w:rsid w:val="533F06D7"/>
    <w:rsid w:val="53AC480C"/>
    <w:rsid w:val="53D42A88"/>
    <w:rsid w:val="543478A8"/>
    <w:rsid w:val="5651511E"/>
    <w:rsid w:val="57166F60"/>
    <w:rsid w:val="576C0734"/>
    <w:rsid w:val="588B5449"/>
    <w:rsid w:val="5C360956"/>
    <w:rsid w:val="5D292D82"/>
    <w:rsid w:val="609F382E"/>
    <w:rsid w:val="60A212ED"/>
    <w:rsid w:val="630D7CFF"/>
    <w:rsid w:val="68AC479D"/>
    <w:rsid w:val="696D7AB2"/>
    <w:rsid w:val="697F1FA7"/>
    <w:rsid w:val="6B936295"/>
    <w:rsid w:val="706E577F"/>
    <w:rsid w:val="72193F47"/>
    <w:rsid w:val="72B14C2F"/>
    <w:rsid w:val="735B0770"/>
    <w:rsid w:val="77311EB6"/>
    <w:rsid w:val="77C25507"/>
    <w:rsid w:val="77C614FB"/>
    <w:rsid w:val="7E5A39DF"/>
    <w:rsid w:val="7E635203"/>
    <w:rsid w:val="7EAF5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50" w:beforeLines="50" w:after="50" w:afterLines="50" w:line="240" w:lineRule="auto"/>
      <w:ind w:left="0" w:firstLine="0"/>
      <w:jc w:val="left"/>
      <w:outlineLvl w:val="1"/>
    </w:pPr>
    <w:rPr>
      <w:rFonts w:ascii="宋体" w:hAnsi="宋体" w:eastAsia="宋体" w:cs="Times New Roman"/>
      <w:b/>
      <w:bCs/>
      <w:sz w:val="28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yz节"/>
    <w:next w:val="1"/>
    <w:qFormat/>
    <w:uiPriority w:val="0"/>
    <w:pPr>
      <w:widowControl w:val="0"/>
      <w:spacing w:before="120" w:after="120"/>
    </w:pPr>
    <w:rPr>
      <w:rFonts w:ascii="宋体" w:hAnsi="Times New Roman" w:eastAsia="宋体" w:cs="Times New Roman"/>
      <w:b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8</TotalTime>
  <ScaleCrop>false</ScaleCrop>
  <LinksUpToDate>false</LinksUpToDate>
  <CharactersWithSpaces>100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森林</cp:lastModifiedBy>
  <dcterms:modified xsi:type="dcterms:W3CDTF">2020-07-27T09:38:24Z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