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行政人事</w:t>
      </w:r>
      <w:r>
        <w:rPr>
          <w:rFonts w:hint="eastAsia"/>
          <w:sz w:val="24"/>
          <w:szCs w:val="24"/>
        </w:rPr>
        <w:t>部、</w:t>
      </w:r>
      <w:r>
        <w:rPr>
          <w:rFonts w:hint="eastAsia"/>
          <w:sz w:val="24"/>
          <w:szCs w:val="24"/>
          <w:lang w:eastAsia="zh-CN"/>
        </w:rPr>
        <w:t>销售部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eastAsia="zh-CN"/>
        </w:rPr>
        <w:t>王家伟</w:t>
      </w:r>
      <w:r>
        <w:rPr>
          <w:rFonts w:hint="eastAsia"/>
          <w:sz w:val="24"/>
          <w:szCs w:val="24"/>
          <w:lang w:val="en-US" w:eastAsia="zh-CN"/>
        </w:rPr>
        <w:t xml:space="preserve">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杨珍全、张心、文平，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审核时间：2020年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8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张心、文平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四川斯达康电气</w:t>
            </w:r>
            <w:r>
              <w:rPr>
                <w:rFonts w:hint="eastAsia"/>
                <w:szCs w:val="21"/>
              </w:rPr>
              <w:t>设备有限公司是设立在四川的具有独立法人资格的公司。我公司专业</w:t>
            </w:r>
            <w:r>
              <w:rPr>
                <w:rFonts w:hint="eastAsia"/>
                <w:szCs w:val="21"/>
                <w:lang w:eastAsia="zh-CN"/>
              </w:rPr>
              <w:t>销售</w:t>
            </w:r>
            <w:r>
              <w:rPr>
                <w:rFonts w:hint="eastAsia"/>
                <w:szCs w:val="21"/>
              </w:rPr>
              <w:t>发电机组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具有雄厚的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力量，</w:t>
            </w:r>
            <w:r>
              <w:rPr>
                <w:rFonts w:hint="eastAsia"/>
                <w:szCs w:val="21"/>
                <w:lang w:eastAsia="zh-CN"/>
              </w:rPr>
              <w:t>技术</w:t>
            </w:r>
            <w:r>
              <w:rPr>
                <w:rFonts w:hint="eastAsia"/>
                <w:szCs w:val="21"/>
              </w:rPr>
              <w:t>实力。现有员工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人，目前经营情况良好。</w:t>
            </w:r>
          </w:p>
          <w:p>
            <w:pPr>
              <w:pStyle w:val="10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pStyle w:val="10"/>
              <w:rPr>
                <w:rFonts w:hint="eastAsia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个部门：行政</w:t>
            </w:r>
            <w:r>
              <w:rPr>
                <w:rFonts w:hint="eastAsia" w:ascii="宋体" w:hAnsi="宋体"/>
                <w:szCs w:val="21"/>
                <w:lang w:eastAsia="zh-CN"/>
              </w:rPr>
              <w:t>人事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eastAsia="zh-CN"/>
              </w:rPr>
              <w:t>销售部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中国(四川)自由贸易试验区成都市青白江区清泉大道一段716号(成都万贯五金机电配送大市场(一期)61栋-1-3层12号)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rFonts w:hint="eastAsia" w:ascii="宋体" w:hAnsi="宋体"/>
                <w:szCs w:val="21"/>
              </w:rPr>
              <w:t>发电机组的销售。</w:t>
            </w:r>
          </w:p>
          <w:p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发电机组的销售所涉及场所的相关环境管理活动。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发电机组的销售所涉及场所的相关职业健康安全管理活动 。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询问，主要设备为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电脑及办公设备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关键过程：销售为关键过程。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组织实际与管理体系文件化信息描述基本一致。有管理层、行政</w:t>
            </w:r>
            <w:r>
              <w:rPr>
                <w:rFonts w:hint="eastAsia" w:ascii="宋体" w:hAnsi="宋体"/>
                <w:szCs w:val="21"/>
                <w:lang w:eastAsia="zh-CN"/>
              </w:rPr>
              <w:t>人事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eastAsia="zh-CN"/>
              </w:rPr>
              <w:t>销售部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质量方针：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确保产品品质，追求精益求精，诚信持续发展，追求顾客满意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环境方针：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预防污染、节能减排、达到持续改进；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安全方针：</w:t>
            </w: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以人为本、提高素质；科学管理、持续改进。 </w:t>
            </w:r>
          </w:p>
          <w:p>
            <w:pPr>
              <w:pStyle w:val="10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质量、环境、职业健康安全目标 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销售产品合格率100%；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顾客满意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≧9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固体废弃物回收处置率100%；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4、环境污染事故发生次数为0；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火灾事故发生次数为0；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6、触电事故发生次数为0；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7、有责交通事故发生次数0。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-23日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李晓丽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（组长）、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李志（组员）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行政人事部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Q/</w:t>
            </w:r>
            <w:r>
              <w:rPr>
                <w:rFonts w:hint="eastAsia" w:ascii="宋体" w:hAnsi="宋体"/>
                <w:szCs w:val="21"/>
              </w:rPr>
              <w:t>E/S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7.5.3</w:t>
            </w:r>
            <w:r>
              <w:rPr>
                <w:rFonts w:hint="eastAsia" w:ascii="宋体" w:hAnsi="宋体"/>
                <w:szCs w:val="21"/>
              </w:rPr>
              <w:t xml:space="preserve">条款 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抽查文件发放记录，未查见2020年3月更新后的法律法规文件的发放记录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李存宝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我公司三标准运行时间较短，有关人员对标准的理解不够深刻，现要求各部门领导和相关人员要进一步学习标准及管理手册，特别是质量体系的学习,严格按照体系要求办事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  <w:highlight w:val="none"/>
              </w:rPr>
              <w:t>中华人民共和国产品质量法</w:t>
            </w:r>
            <w:r>
              <w:rPr>
                <w:rFonts w:hint="eastAsia" w:ascii="宋体" w:hAnsi="宋体"/>
                <w:szCs w:val="21"/>
                <w:highlight w:val="none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GB/T 4712-2008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自动化柴油发电机组分级要求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、 15D202-2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柴油发电机组设计与安装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、合同协议等。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污水排入城镇下水道水质标准（</w:t>
            </w:r>
            <w:r>
              <w:rPr>
                <w:rFonts w:ascii="宋体" w:hAnsi="宋体"/>
                <w:szCs w:val="21"/>
                <w:highlight w:val="none"/>
              </w:rPr>
              <w:t>GB/T 31962-2015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无质量监督抽查。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流程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签订合同→实施采购→发货→客户签收。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需确认过程：销售过程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，也是关键过程。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Q8.3条款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公司范围为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发电机组的销售。</w:t>
            </w:r>
            <w:r>
              <w:rPr>
                <w:rFonts w:hint="eastAsia" w:ascii="宋体" w:hAnsi="宋体"/>
                <w:sz w:val="21"/>
                <w:szCs w:val="21"/>
              </w:rPr>
              <w:t>公司销售模式采用以往成熟的营销模式，未有新的营销模式。公司销售过程不涉及设计和开发，也不承担设计和开发的责任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潜在火灾、固废排放。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火灾、触电</w:t>
            </w:r>
            <w:r>
              <w:rPr>
                <w:rFonts w:hint="eastAsia" w:ascii="宋体" w:hAnsi="宋体"/>
                <w:szCs w:val="21"/>
                <w:lang w:eastAsia="zh-CN"/>
              </w:rPr>
              <w:t>、交通意外伤害</w:t>
            </w:r>
            <w:r>
              <w:rPr>
                <w:rFonts w:hint="eastAsia" w:ascii="宋体" w:hAnsi="宋体"/>
                <w:color w:val="FF0000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公司拟定有《火灾、触电应急预案》，</w:t>
            </w:r>
            <w:r>
              <w:rPr>
                <w:rFonts w:hint="eastAsia" w:ascii="宋体" w:hAnsi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月2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日进行了消防演习演习。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办公</w:t>
            </w:r>
            <w:r>
              <w:rPr>
                <w:rFonts w:hint="eastAsia"/>
                <w:lang w:eastAsia="zh-CN"/>
              </w:rPr>
              <w:t>用品、</w:t>
            </w:r>
            <w:r>
              <w:rPr>
                <w:rFonts w:hint="eastAsia"/>
              </w:rPr>
              <w:t>辅料等。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销售人员。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小汽车、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电脑及办公设备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无库房，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设有样品展览室一间面积大约有50平方米。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公司采取开票销售的方式进行，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销售商品由供应商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直接交付到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顾客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，未设置库房等周转环节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消防栓、灭火器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配电箱、空开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无，采取以供方出具的产品检测报告为验收依据，进行核验，最终产品质量由顾客确认，暂未配置检测设备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在机电市场</w:t>
            </w: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二阶段质量管理体系宜重点关注（合同评审、采购控制、销售服务等）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重点审核部门：销售部、行政人事部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重点审核过程：产品销售和服务提供控制、顾客满意；产品和服务放行、不合格产品控制等。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6E21"/>
    <w:rsid w:val="0003373A"/>
    <w:rsid w:val="0003666F"/>
    <w:rsid w:val="00077182"/>
    <w:rsid w:val="00084386"/>
    <w:rsid w:val="000B1F50"/>
    <w:rsid w:val="000C0711"/>
    <w:rsid w:val="00105A91"/>
    <w:rsid w:val="001A2D7F"/>
    <w:rsid w:val="001F5FC8"/>
    <w:rsid w:val="002B6B8C"/>
    <w:rsid w:val="00301ADF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E2167"/>
    <w:rsid w:val="00536930"/>
    <w:rsid w:val="00564E53"/>
    <w:rsid w:val="00590B18"/>
    <w:rsid w:val="005F08EC"/>
    <w:rsid w:val="00603BE2"/>
    <w:rsid w:val="00624BCF"/>
    <w:rsid w:val="00631E3F"/>
    <w:rsid w:val="00644FE2"/>
    <w:rsid w:val="0067640C"/>
    <w:rsid w:val="006776F7"/>
    <w:rsid w:val="00691D38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46436"/>
    <w:rsid w:val="00BA70EA"/>
    <w:rsid w:val="00BC384E"/>
    <w:rsid w:val="00BF597E"/>
    <w:rsid w:val="00C51A36"/>
    <w:rsid w:val="00C55228"/>
    <w:rsid w:val="00CA45E2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1918D5"/>
    <w:rsid w:val="01FD2F8F"/>
    <w:rsid w:val="02914DB0"/>
    <w:rsid w:val="02FE79AF"/>
    <w:rsid w:val="03007B7B"/>
    <w:rsid w:val="05110358"/>
    <w:rsid w:val="058B52B7"/>
    <w:rsid w:val="078F5BE9"/>
    <w:rsid w:val="08A46BAD"/>
    <w:rsid w:val="09B92F09"/>
    <w:rsid w:val="09F945D6"/>
    <w:rsid w:val="0A2E4B70"/>
    <w:rsid w:val="0A913774"/>
    <w:rsid w:val="0AA54F4C"/>
    <w:rsid w:val="0CE24FBA"/>
    <w:rsid w:val="0CF13D82"/>
    <w:rsid w:val="0D0A51CF"/>
    <w:rsid w:val="0D1C33EC"/>
    <w:rsid w:val="0D714F8D"/>
    <w:rsid w:val="0E25209A"/>
    <w:rsid w:val="0E4038B6"/>
    <w:rsid w:val="0F083958"/>
    <w:rsid w:val="0FE61F0E"/>
    <w:rsid w:val="10584347"/>
    <w:rsid w:val="108219C2"/>
    <w:rsid w:val="10B15952"/>
    <w:rsid w:val="10BA3FA3"/>
    <w:rsid w:val="11D90A0D"/>
    <w:rsid w:val="132D5537"/>
    <w:rsid w:val="13F86CC6"/>
    <w:rsid w:val="14DB0526"/>
    <w:rsid w:val="16F502B5"/>
    <w:rsid w:val="173A44ED"/>
    <w:rsid w:val="178763DE"/>
    <w:rsid w:val="188A5B45"/>
    <w:rsid w:val="18F3496B"/>
    <w:rsid w:val="19C315EE"/>
    <w:rsid w:val="1A3165D0"/>
    <w:rsid w:val="1A7412E6"/>
    <w:rsid w:val="1ADB1E14"/>
    <w:rsid w:val="1B0A383C"/>
    <w:rsid w:val="1B883AC7"/>
    <w:rsid w:val="1BF94737"/>
    <w:rsid w:val="1C74135E"/>
    <w:rsid w:val="1C9555C2"/>
    <w:rsid w:val="1D5C04E8"/>
    <w:rsid w:val="1EA13EDA"/>
    <w:rsid w:val="1F420E47"/>
    <w:rsid w:val="20205300"/>
    <w:rsid w:val="20741E17"/>
    <w:rsid w:val="22182E2B"/>
    <w:rsid w:val="22873E91"/>
    <w:rsid w:val="22880FC5"/>
    <w:rsid w:val="23CF173A"/>
    <w:rsid w:val="247567D5"/>
    <w:rsid w:val="2699614F"/>
    <w:rsid w:val="27845C79"/>
    <w:rsid w:val="284A3DE3"/>
    <w:rsid w:val="285C040E"/>
    <w:rsid w:val="288A6EBF"/>
    <w:rsid w:val="2A1B1879"/>
    <w:rsid w:val="2A38673C"/>
    <w:rsid w:val="2AE23791"/>
    <w:rsid w:val="2D453746"/>
    <w:rsid w:val="2D89725D"/>
    <w:rsid w:val="2E337362"/>
    <w:rsid w:val="2E3A6851"/>
    <w:rsid w:val="2E6507FB"/>
    <w:rsid w:val="2E8F3862"/>
    <w:rsid w:val="2ECF72A4"/>
    <w:rsid w:val="2EF57FB6"/>
    <w:rsid w:val="2F09530F"/>
    <w:rsid w:val="31D15F9B"/>
    <w:rsid w:val="3244365E"/>
    <w:rsid w:val="32AF550F"/>
    <w:rsid w:val="32E72F3A"/>
    <w:rsid w:val="32F340D2"/>
    <w:rsid w:val="33E514FD"/>
    <w:rsid w:val="33EE5BC9"/>
    <w:rsid w:val="34071B60"/>
    <w:rsid w:val="341B55D8"/>
    <w:rsid w:val="346041F3"/>
    <w:rsid w:val="348A1928"/>
    <w:rsid w:val="34B3178E"/>
    <w:rsid w:val="34FB51F4"/>
    <w:rsid w:val="350E46E6"/>
    <w:rsid w:val="35424DD4"/>
    <w:rsid w:val="35B4109E"/>
    <w:rsid w:val="36513486"/>
    <w:rsid w:val="36BA30AC"/>
    <w:rsid w:val="36EF03C4"/>
    <w:rsid w:val="37F37F6B"/>
    <w:rsid w:val="3A0069CD"/>
    <w:rsid w:val="3CFE2C36"/>
    <w:rsid w:val="3D31019E"/>
    <w:rsid w:val="3DD61C5E"/>
    <w:rsid w:val="3E4A2DC0"/>
    <w:rsid w:val="3F0653EB"/>
    <w:rsid w:val="3F480834"/>
    <w:rsid w:val="3F60400C"/>
    <w:rsid w:val="41242052"/>
    <w:rsid w:val="413661E7"/>
    <w:rsid w:val="4389789A"/>
    <w:rsid w:val="43B95E51"/>
    <w:rsid w:val="444E487B"/>
    <w:rsid w:val="45292AD5"/>
    <w:rsid w:val="45517238"/>
    <w:rsid w:val="4564559E"/>
    <w:rsid w:val="459668DE"/>
    <w:rsid w:val="45BB551D"/>
    <w:rsid w:val="45DA5BCB"/>
    <w:rsid w:val="45F23538"/>
    <w:rsid w:val="463C4809"/>
    <w:rsid w:val="470432A0"/>
    <w:rsid w:val="4709198D"/>
    <w:rsid w:val="47481F35"/>
    <w:rsid w:val="477E0840"/>
    <w:rsid w:val="48DE42C4"/>
    <w:rsid w:val="492C416A"/>
    <w:rsid w:val="49842208"/>
    <w:rsid w:val="49874987"/>
    <w:rsid w:val="49B85AD4"/>
    <w:rsid w:val="49FF500E"/>
    <w:rsid w:val="4A090ABD"/>
    <w:rsid w:val="4C02538B"/>
    <w:rsid w:val="4C661386"/>
    <w:rsid w:val="4D5D2780"/>
    <w:rsid w:val="4DC5624A"/>
    <w:rsid w:val="4EBA1767"/>
    <w:rsid w:val="4F6607E7"/>
    <w:rsid w:val="50766997"/>
    <w:rsid w:val="50844264"/>
    <w:rsid w:val="5288776B"/>
    <w:rsid w:val="52CA5724"/>
    <w:rsid w:val="536F1793"/>
    <w:rsid w:val="53CB34C6"/>
    <w:rsid w:val="53E11F8E"/>
    <w:rsid w:val="54A07C25"/>
    <w:rsid w:val="55840B11"/>
    <w:rsid w:val="55B42C0A"/>
    <w:rsid w:val="5744437D"/>
    <w:rsid w:val="574E1C45"/>
    <w:rsid w:val="593E1911"/>
    <w:rsid w:val="59BB58D0"/>
    <w:rsid w:val="5ACB5424"/>
    <w:rsid w:val="5B410F90"/>
    <w:rsid w:val="5BBF79FD"/>
    <w:rsid w:val="5BEE76B0"/>
    <w:rsid w:val="5C212B36"/>
    <w:rsid w:val="5CA03390"/>
    <w:rsid w:val="5CE93D4A"/>
    <w:rsid w:val="5D99189B"/>
    <w:rsid w:val="5DA63035"/>
    <w:rsid w:val="5DD9588B"/>
    <w:rsid w:val="5DD95D6A"/>
    <w:rsid w:val="5DE618CE"/>
    <w:rsid w:val="5E990703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373329"/>
    <w:rsid w:val="629042E0"/>
    <w:rsid w:val="630228D7"/>
    <w:rsid w:val="63D418E4"/>
    <w:rsid w:val="64BC69D8"/>
    <w:rsid w:val="65922A06"/>
    <w:rsid w:val="65C26CFD"/>
    <w:rsid w:val="65C31127"/>
    <w:rsid w:val="66780237"/>
    <w:rsid w:val="67127677"/>
    <w:rsid w:val="673066A7"/>
    <w:rsid w:val="67A91452"/>
    <w:rsid w:val="67C24104"/>
    <w:rsid w:val="67DA6092"/>
    <w:rsid w:val="67EC2785"/>
    <w:rsid w:val="680B3CFE"/>
    <w:rsid w:val="68A13467"/>
    <w:rsid w:val="69C04E50"/>
    <w:rsid w:val="69EC0103"/>
    <w:rsid w:val="6B2A3D7C"/>
    <w:rsid w:val="6D324DEA"/>
    <w:rsid w:val="6D394630"/>
    <w:rsid w:val="6DE04217"/>
    <w:rsid w:val="6E4C7F64"/>
    <w:rsid w:val="6EFB5A49"/>
    <w:rsid w:val="708F5CE8"/>
    <w:rsid w:val="70B87701"/>
    <w:rsid w:val="71796B13"/>
    <w:rsid w:val="718965A6"/>
    <w:rsid w:val="718E17BF"/>
    <w:rsid w:val="722B4BCB"/>
    <w:rsid w:val="72DA0412"/>
    <w:rsid w:val="755D588B"/>
    <w:rsid w:val="75F739C3"/>
    <w:rsid w:val="77393AAD"/>
    <w:rsid w:val="777D19F5"/>
    <w:rsid w:val="77B86625"/>
    <w:rsid w:val="77CB0585"/>
    <w:rsid w:val="78C54EB6"/>
    <w:rsid w:val="7A144B62"/>
    <w:rsid w:val="7A2A56CD"/>
    <w:rsid w:val="7B53416D"/>
    <w:rsid w:val="7C0D225F"/>
    <w:rsid w:val="7CDF6DCF"/>
    <w:rsid w:val="7D5151E7"/>
    <w:rsid w:val="7D845F64"/>
    <w:rsid w:val="7E126EB0"/>
    <w:rsid w:val="7F1E3587"/>
    <w:rsid w:val="7F797469"/>
    <w:rsid w:val="7F9D1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1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346</Words>
  <Characters>1973</Characters>
  <Lines>16</Lines>
  <Paragraphs>4</Paragraphs>
  <TotalTime>0</TotalTime>
  <ScaleCrop>false</ScaleCrop>
  <LinksUpToDate>false</LinksUpToDate>
  <CharactersWithSpaces>2315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2020-08-15T13:32:36Z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