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 </w:t>
      </w:r>
      <w:r>
        <w:rPr>
          <w:rFonts w:hint="eastAsia"/>
          <w:b/>
          <w:sz w:val="22"/>
          <w:szCs w:val="22"/>
        </w:rPr>
        <w:t>■5</w:t>
      </w:r>
      <w:r>
        <w:rPr>
          <w:b/>
          <w:sz w:val="22"/>
          <w:szCs w:val="22"/>
        </w:rPr>
        <w:t xml:space="preserve">0430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829"/>
        <w:gridCol w:w="1377"/>
        <w:gridCol w:w="2094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185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四川正翔建筑装饰工程有限公司</w:t>
            </w:r>
            <w:bookmarkEnd w:id="2"/>
          </w:p>
        </w:tc>
        <w:tc>
          <w:tcPr>
            <w:tcW w:w="137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519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EC28.02.00;28.08.01;28.08.02;28.08.03;28.08.04;28.08.05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E28.02.00;28.08.01;28.08.02;28.08.03;28.08.04;28.08.05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O28.02.00;28.08.01;28.08.02;28.08.03;28.08.04;28.08.05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8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8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建筑施工流程</w:t>
            </w:r>
            <w:r>
              <w:rPr>
                <w:rFonts w:hint="eastAsia" w:hAnsi="宋体"/>
                <w:sz w:val="21"/>
                <w:szCs w:val="21"/>
              </w:rPr>
              <w:t>：施工准备</w:t>
            </w:r>
            <w:r>
              <w:rPr>
                <w:rFonts w:hAnsi="宋体"/>
                <w:sz w:val="21"/>
                <w:szCs w:val="21"/>
              </w:rPr>
              <w:sym w:font="Wingdings" w:char="F0E0"/>
            </w:r>
            <w:r>
              <w:rPr>
                <w:rFonts w:hint="eastAsia" w:hAnsi="宋体"/>
                <w:sz w:val="21"/>
                <w:szCs w:val="21"/>
              </w:rPr>
              <w:t xml:space="preserve"> 基础开挖</w:t>
            </w:r>
            <w:r>
              <w:rPr>
                <w:rFonts w:hAnsi="宋体"/>
                <w:sz w:val="21"/>
                <w:szCs w:val="21"/>
              </w:rPr>
              <w:sym w:font="Wingdings" w:char="F0E0"/>
            </w:r>
            <w:r>
              <w:rPr>
                <w:rFonts w:hAnsi="宋体"/>
                <w:sz w:val="21"/>
                <w:szCs w:val="21"/>
              </w:rPr>
              <w:t>基础工程</w:t>
            </w:r>
            <w:r>
              <w:rPr>
                <w:rFonts w:hint="eastAsia" w:hAnsi="宋体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sym w:font="Wingdings" w:char="F0E0"/>
            </w:r>
            <w:r>
              <w:rPr>
                <w:rFonts w:hAnsi="宋体"/>
                <w:sz w:val="21"/>
                <w:szCs w:val="21"/>
              </w:rPr>
              <w:t>主体工程</w:t>
            </w:r>
            <w:r>
              <w:rPr>
                <w:rFonts w:hAnsi="宋体"/>
                <w:sz w:val="21"/>
                <w:szCs w:val="21"/>
              </w:rPr>
              <w:sym w:font="Wingdings" w:char="F0E0"/>
            </w:r>
            <w:r>
              <w:rPr>
                <w:rFonts w:hAnsi="宋体"/>
                <w:sz w:val="21"/>
                <w:szCs w:val="21"/>
              </w:rPr>
              <w:t>门窗安装</w:t>
            </w:r>
            <w:r>
              <w:rPr>
                <w:rFonts w:hAnsi="宋体"/>
                <w:sz w:val="21"/>
                <w:szCs w:val="21"/>
              </w:rPr>
              <w:sym w:font="Wingdings" w:char="F0E0"/>
            </w:r>
            <w:r>
              <w:rPr>
                <w:rFonts w:hAnsi="宋体"/>
                <w:sz w:val="21"/>
                <w:szCs w:val="21"/>
              </w:rPr>
              <w:t>内外粉刷</w:t>
            </w:r>
            <w:r>
              <w:rPr>
                <w:rFonts w:hAnsi="宋体"/>
                <w:sz w:val="21"/>
                <w:szCs w:val="21"/>
              </w:rPr>
              <w:sym w:font="Wingdings" w:char="F0E0"/>
            </w:r>
            <w:r>
              <w:rPr>
                <w:rFonts w:hAnsi="宋体"/>
                <w:sz w:val="21"/>
                <w:szCs w:val="21"/>
              </w:rPr>
              <w:t>楼地面</w:t>
            </w:r>
            <w:r>
              <w:rPr>
                <w:rFonts w:hAnsi="宋体"/>
                <w:sz w:val="21"/>
                <w:szCs w:val="21"/>
              </w:rPr>
              <w:sym w:font="Wingdings" w:char="F0E0"/>
            </w:r>
            <w:r>
              <w:rPr>
                <w:rFonts w:hAnsi="宋体"/>
                <w:sz w:val="21"/>
                <w:szCs w:val="21"/>
              </w:rPr>
              <w:t>清理验收</w:t>
            </w:r>
            <w:r>
              <w:rPr>
                <w:rFonts w:hint="eastAsia" w:hAnsi="宋体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 w:val="21"/>
                <w:szCs w:val="21"/>
              </w:rPr>
              <w:t>装修装饰流程：装修装饰流程：施工准备--基础开挖--基础工程--主体工程--门窗安装--内外粉刷--楼地面--清理验收—交付及交付后活动；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关键过程：设计过程、隐蔽工程，《设计开发控制程序》、作业指导书等</w:t>
            </w:r>
          </w:p>
          <w:p>
            <w:pPr>
              <w:snapToGrid w:val="0"/>
              <w:spacing w:line="280" w:lineRule="exact"/>
              <w:rPr>
                <w:rFonts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 w:val="21"/>
                <w:szCs w:val="21"/>
              </w:rPr>
              <w:t>主体结构焊接及特殊防水，进行确认，补充特殊过程确认表，对特殊过程及关键过程进行有效控制。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rPr>
                <w:rFonts w:hint="eastAsia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 w:val="21"/>
                <w:szCs w:val="21"/>
              </w:rPr>
              <w:t>涉及的主要环境因素：固体废弃物排放、火灾爆炸、噪声排放、粉尘排放、废水排放、资源浪费；制定程序文件、管理方案及管理制度等，进行有效控制。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rPr>
                <w:rFonts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 w:val="21"/>
                <w:szCs w:val="21"/>
              </w:rPr>
              <w:t>不可接受危险源：塌方、倒塌事故、触电、火灾爆炸、机械伤害、高处坠落、中暑、物体打击、车辆伤害、暴雨或洪水伤害；制定程序文件、管理方案及管理制度等，进行有效控制、制定操作规程、持证上岗、安全检查、用电管理、安全网、安全带、安全帽、安全教育及检查等方法，控制有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主要有《建筑法》、《建设工程质量管理条例》、《建筑工程施工质量验收统一标准》（GB50300-2013）、《建筑工程地基基础工程施工质量验收规范》（GB50202-2002）、《砌体工程施工质量验收规范》（GB50203-2011）、《地下防水工程施工验收规范》GB50208-2002、《混凝土结构工程施工质量验收规范》GB50204-2015；《地下防水工程施工质量验收规范 》GB50208-2011；《建设工程安全生产管理条例》、通用硅酸盐水泥GB 175-2007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钢筋混凝土用钢 第1部分：热轧光圆钢筋GB 1499.1-2008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建筑地基基础设计规范</w:t>
            </w:r>
            <w:r>
              <w:rPr>
                <w:rFonts w:hint="eastAsia" w:hAnsi="宋体"/>
                <w:sz w:val="21"/>
                <w:szCs w:val="21"/>
              </w:rPr>
              <w:tab/>
            </w:r>
            <w:r>
              <w:rPr>
                <w:rFonts w:hint="eastAsia" w:hAnsi="宋体"/>
                <w:sz w:val="21"/>
                <w:szCs w:val="21"/>
              </w:rPr>
              <w:t>GB 50007-2002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建筑抗震设计规范GB 50011-2010</w:t>
            </w:r>
            <w:bookmarkStart w:id="4" w:name="_GoBack"/>
            <w:bookmarkEnd w:id="4"/>
          </w:p>
          <w:p>
            <w:pPr>
              <w:snapToGrid w:val="0"/>
              <w:spacing w:line="280" w:lineRule="exact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混凝土质量控制标准</w:t>
            </w:r>
            <w:r>
              <w:rPr>
                <w:rFonts w:hint="eastAsia" w:hAnsi="宋体"/>
                <w:sz w:val="21"/>
                <w:szCs w:val="21"/>
              </w:rPr>
              <w:tab/>
            </w:r>
            <w:r>
              <w:rPr>
                <w:rFonts w:hint="eastAsia" w:hAnsi="宋体"/>
                <w:sz w:val="21"/>
                <w:szCs w:val="21"/>
              </w:rPr>
              <w:t>GB 50164-92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建筑装饰装修工程质量验收规范</w:t>
            </w:r>
            <w:r>
              <w:rPr>
                <w:rFonts w:hint="eastAsia" w:hAnsi="宋体"/>
                <w:sz w:val="21"/>
                <w:szCs w:val="21"/>
              </w:rPr>
              <w:tab/>
            </w:r>
            <w:r>
              <w:rPr>
                <w:rFonts w:hint="eastAsia" w:hAnsi="宋体"/>
                <w:sz w:val="21"/>
                <w:szCs w:val="21"/>
              </w:rPr>
              <w:t>GB50210-2013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建筑材料放射性核素限量</w:t>
            </w:r>
            <w:r>
              <w:rPr>
                <w:rFonts w:hint="eastAsia" w:hAnsi="宋体"/>
                <w:sz w:val="21"/>
                <w:szCs w:val="21"/>
              </w:rPr>
              <w:tab/>
            </w:r>
            <w:r>
              <w:rPr>
                <w:rFonts w:hint="eastAsia" w:hAnsi="宋体"/>
                <w:sz w:val="21"/>
                <w:szCs w:val="21"/>
              </w:rPr>
              <w:t>GB6566-2010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建筑内部装修设计防火施工及验收规范</w:t>
            </w:r>
            <w:r>
              <w:rPr>
                <w:rFonts w:hint="eastAsia" w:hAnsi="宋体"/>
                <w:sz w:val="21"/>
                <w:szCs w:val="21"/>
              </w:rPr>
              <w:tab/>
            </w:r>
            <w:r>
              <w:rPr>
                <w:rFonts w:hint="eastAsia" w:hAnsi="宋体"/>
                <w:sz w:val="21"/>
                <w:szCs w:val="21"/>
              </w:rPr>
              <w:t>GB50354-2005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 w:val="21"/>
                <w:szCs w:val="21"/>
              </w:rPr>
              <w:t>建筑防腐蚀工程施工及验收规范</w:t>
            </w:r>
            <w:r>
              <w:rPr>
                <w:rFonts w:hint="eastAsia" w:hAnsi="宋体"/>
                <w:sz w:val="21"/>
                <w:szCs w:val="21"/>
              </w:rPr>
              <w:tab/>
            </w:r>
            <w:r>
              <w:rPr>
                <w:rFonts w:hint="eastAsia" w:hAnsi="宋体"/>
                <w:sz w:val="21"/>
                <w:szCs w:val="21"/>
              </w:rPr>
              <w:t>GB50212-2014等《环保法》、《劳动法》、《建设项目竣工环保验收条例》、《建筑施工噪音限值》、《文物保护法》、《消防法》、《未成年保护法》、《妇女权益保护法》、《危险化学品安全管理条例》等。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spacing w:line="240" w:lineRule="exact"/>
              <w:rPr>
                <w:rFonts w:hint="eastAsia" w:ascii="Times New Roman" w:hAnsi="宋体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/>
                <w:szCs w:val="21"/>
                <w:lang w:val="en-US" w:eastAsia="zh-CN"/>
              </w:rPr>
              <w:t>工程使用的材料、设备需进场验收；</w:t>
            </w:r>
          </w:p>
          <w:p>
            <w:pPr>
              <w:snapToGrid w:val="0"/>
              <w:spacing w:line="280" w:lineRule="exac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工程中的隐蔽工程部位验收。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工程竣工验收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rPr>
                <w:rFonts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 w:val="21"/>
                <w:szCs w:val="21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</w:t>
      </w:r>
      <w:r>
        <w:rPr>
          <w:rFonts w:hint="eastAsia" w:ascii="宋体"/>
          <w:b/>
          <w:sz w:val="22"/>
          <w:szCs w:val="22"/>
        </w:rPr>
        <w:t>专业人员)：</w:t>
      </w:r>
      <w:r>
        <w:rPr>
          <w:rFonts w:hint="eastAsia" w:ascii="宋体"/>
          <w:b/>
          <w:sz w:val="22"/>
          <w:szCs w:val="22"/>
          <w:lang w:val="en-US" w:eastAsia="zh-CN"/>
        </w:rPr>
        <w:t>李凤仪</w:t>
      </w:r>
      <w:r>
        <w:rPr>
          <w:rFonts w:hint="eastAsia" w:ascii="宋体"/>
          <w:b/>
          <w:sz w:val="22"/>
          <w:szCs w:val="22"/>
        </w:rPr>
        <w:t xml:space="preserve">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2020.07.31</w:t>
      </w:r>
      <w:r>
        <w:rPr>
          <w:rFonts w:hint="eastAsia" w:ascii="宋体"/>
          <w:b/>
          <w:sz w:val="22"/>
          <w:szCs w:val="22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李凤仪</w:t>
      </w:r>
      <w:r>
        <w:rPr>
          <w:rFonts w:hint="eastAsia" w:ascii="宋体"/>
          <w:b/>
          <w:sz w:val="22"/>
          <w:szCs w:val="22"/>
        </w:rPr>
        <w:t xml:space="preserve">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2020.07.31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6F5419"/>
    <w:rsid w:val="1A06370E"/>
    <w:rsid w:val="1C8D7710"/>
    <w:rsid w:val="36100D84"/>
    <w:rsid w:val="3EF66465"/>
    <w:rsid w:val="40BD31CD"/>
    <w:rsid w:val="46132E5E"/>
    <w:rsid w:val="7AD13FF9"/>
    <w:rsid w:val="7E67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黑体"/>
      <w:sz w:val="21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2020-08-01T01:14:29Z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