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牡丹江市新翔石油机械有限责任公司</w:t>
      </w:r>
      <w:bookmarkEnd w:id="1"/>
    </w:p>
    <w:p>
      <w:pPr>
        <w:spacing w:line="360" w:lineRule="auto"/>
        <w:jc w:val="left"/>
        <w:rPr>
          <w:rFonts w:hint="eastAsia" w:ascii="宋体" w:hAnsi="宋体"/>
          <w:spacing w:val="32"/>
          <w:sz w:val="32"/>
          <w:u w:val="single"/>
          <w:lang w:val="en-US" w:eastAsia="zh-CN"/>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lang w:val="en-US" w:eastAsia="zh-CN"/>
        </w:rPr>
        <w:t xml:space="preserve">      </w:t>
      </w:r>
      <w:r>
        <w:rPr>
          <w:rFonts w:hint="eastAsia" w:ascii="宋体" w:hAnsi="宋体"/>
          <w:sz w:val="32"/>
          <w:u w:val="single"/>
        </w:rPr>
        <w:t>0062-2018-20</w:t>
      </w:r>
      <w:bookmarkEnd w:id="2"/>
      <w:r>
        <w:rPr>
          <w:rFonts w:hint="eastAsia" w:ascii="宋体" w:hAnsi="宋体"/>
          <w:sz w:val="32"/>
          <w:u w:val="single"/>
          <w:lang w:val="en-US" w:eastAsia="zh-CN"/>
        </w:rPr>
        <w:t xml:space="preserve">20        </w:t>
      </w:r>
      <w:r>
        <w:rPr>
          <w:rFonts w:hint="eastAsia" w:ascii="宋体" w:hAnsi="宋体"/>
          <w:spacing w:val="32"/>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lang w:val="en-US" w:eastAsia="zh-CN"/>
        </w:rPr>
        <w:t xml:space="preserve">      </w:t>
      </w:r>
      <w:r>
        <w:rPr>
          <w:rFonts w:hint="eastAsia" w:ascii="宋体" w:hAnsi="宋体"/>
          <w:sz w:val="32"/>
          <w:u w:val="single"/>
          <w:lang w:val="en-US" w:eastAsia="zh-CN"/>
        </w:rPr>
        <w:t>2020</w:t>
      </w:r>
      <w:r>
        <w:rPr>
          <w:rFonts w:hint="eastAsia" w:ascii="宋体" w:hAnsi="宋体"/>
          <w:sz w:val="32"/>
          <w:u w:val="single"/>
        </w:rPr>
        <w:t>年度监督审核</w:t>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0062-2018-20</w:t>
      </w:r>
      <w:bookmarkEnd w:id="3"/>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numPr>
          <w:ilvl w:val="0"/>
          <w:numId w:val="0"/>
        </w:numPr>
        <w:spacing w:line="360" w:lineRule="auto"/>
        <w:rPr>
          <w:rFonts w:ascii="宋体" w:hAnsi="宋体" w:eastAsia="宋体" w:cs="宋体"/>
          <w:b/>
          <w:bCs/>
          <w:kern w:val="0"/>
          <w:sz w:val="30"/>
          <w:szCs w:val="30"/>
        </w:rPr>
      </w:pPr>
      <w:r>
        <w:rPr>
          <w:rFonts w:hint="eastAsia" w:cs="宋体" w:asciiTheme="minorEastAsia" w:hAnsiTheme="minorEastAsia"/>
          <w:b/>
          <w:bCs/>
          <w:kern w:val="0"/>
          <w:szCs w:val="21"/>
          <w:lang w:val="en-US" w:eastAsia="zh-CN"/>
        </w:rPr>
        <w:t>一、</w:t>
      </w:r>
      <w:r>
        <w:rPr>
          <w:rFonts w:hint="eastAsia" w:cs="宋体" w:asciiTheme="minorEastAsia" w:hAnsiTheme="minorEastAsia"/>
          <w:b/>
          <w:bCs/>
          <w:kern w:val="0"/>
          <w:szCs w:val="21"/>
        </w:rPr>
        <w:t>基本情况</w:t>
      </w:r>
    </w:p>
    <w:tbl>
      <w:tblPr>
        <w:tblStyle w:val="4"/>
        <w:tblpPr w:leftFromText="180" w:rightFromText="180" w:vertAnchor="text" w:tblpXSpec="center" w:tblpY="1"/>
        <w:tblOverlap w:val="never"/>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840"/>
        <w:gridCol w:w="1710"/>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724" w:type="dxa"/>
            <w:vAlign w:val="center"/>
          </w:tcPr>
          <w:p>
            <w:pPr>
              <w:tabs>
                <w:tab w:val="left" w:pos="880"/>
              </w:tabs>
              <w:autoSpaceDE w:val="0"/>
              <w:autoSpaceDN w:val="0"/>
              <w:adjustRightInd w:val="0"/>
              <w:spacing w:before="35" w:line="276" w:lineRule="auto"/>
              <w:ind w:right="161"/>
              <w:jc w:val="both"/>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840" w:type="dxa"/>
            <w:vAlign w:val="center"/>
          </w:tcPr>
          <w:p>
            <w:pPr>
              <w:tabs>
                <w:tab w:val="left" w:pos="880"/>
              </w:tabs>
              <w:autoSpaceDE w:val="0"/>
              <w:autoSpaceDN w:val="0"/>
              <w:adjustRightInd w:val="0"/>
              <w:spacing w:before="35" w:line="276" w:lineRule="auto"/>
              <w:ind w:right="161"/>
              <w:jc w:val="both"/>
              <w:rPr>
                <w:rFonts w:cs="宋体" w:asciiTheme="minorEastAsia" w:hAnsiTheme="minorEastAsia"/>
                <w:kern w:val="0"/>
                <w:szCs w:val="21"/>
              </w:rPr>
            </w:pPr>
            <w:bookmarkStart w:id="4" w:name="组织名称Add1"/>
            <w:r>
              <w:rPr>
                <w:rFonts w:cs="宋体" w:asciiTheme="minorEastAsia" w:hAnsiTheme="minorEastAsia"/>
                <w:kern w:val="0"/>
                <w:szCs w:val="21"/>
              </w:rPr>
              <w:t>牡丹江市新翔石油机械有限责任公司</w:t>
            </w:r>
            <w:bookmarkEnd w:id="4"/>
          </w:p>
        </w:tc>
        <w:tc>
          <w:tcPr>
            <w:tcW w:w="1710" w:type="dxa"/>
            <w:vAlign w:val="center"/>
          </w:tcPr>
          <w:p>
            <w:pPr>
              <w:tabs>
                <w:tab w:val="left" w:pos="880"/>
              </w:tabs>
              <w:autoSpaceDE w:val="0"/>
              <w:autoSpaceDN w:val="0"/>
              <w:adjustRightInd w:val="0"/>
              <w:spacing w:before="35" w:line="276" w:lineRule="auto"/>
              <w:ind w:right="161"/>
              <w:jc w:val="both"/>
              <w:rPr>
                <w:rFonts w:cs="宋体" w:asciiTheme="minorEastAsia" w:hAnsiTheme="minorEastAsia"/>
                <w:kern w:val="0"/>
                <w:szCs w:val="21"/>
              </w:rPr>
            </w:pPr>
            <w:r>
              <w:rPr>
                <w:rFonts w:hint="eastAsia" w:cs="宋体" w:asciiTheme="minorEastAsia" w:hAnsiTheme="minorEastAsia"/>
                <w:kern w:val="0"/>
                <w:szCs w:val="21"/>
              </w:rPr>
              <w:t>企业联系人</w:t>
            </w:r>
          </w:p>
        </w:tc>
        <w:tc>
          <w:tcPr>
            <w:tcW w:w="2125" w:type="dxa"/>
            <w:vAlign w:val="center"/>
          </w:tcPr>
          <w:p>
            <w:pPr>
              <w:tabs>
                <w:tab w:val="left" w:pos="880"/>
              </w:tabs>
              <w:autoSpaceDE w:val="0"/>
              <w:autoSpaceDN w:val="0"/>
              <w:adjustRightInd w:val="0"/>
              <w:spacing w:before="35" w:line="276" w:lineRule="auto"/>
              <w:ind w:right="161"/>
              <w:jc w:val="both"/>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臧胜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4" w:type="dxa"/>
            <w:vAlign w:val="center"/>
          </w:tcPr>
          <w:p>
            <w:pPr>
              <w:tabs>
                <w:tab w:val="left" w:pos="880"/>
              </w:tabs>
              <w:autoSpaceDE w:val="0"/>
              <w:autoSpaceDN w:val="0"/>
              <w:adjustRightInd w:val="0"/>
              <w:spacing w:before="35" w:line="276" w:lineRule="auto"/>
              <w:ind w:right="161"/>
              <w:jc w:val="both"/>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840" w:type="dxa"/>
            <w:vAlign w:val="center"/>
          </w:tcPr>
          <w:p>
            <w:pPr>
              <w:tabs>
                <w:tab w:val="left" w:pos="880"/>
              </w:tabs>
              <w:autoSpaceDE w:val="0"/>
              <w:autoSpaceDN w:val="0"/>
              <w:adjustRightInd w:val="0"/>
              <w:spacing w:before="35" w:line="276" w:lineRule="auto"/>
              <w:ind w:right="161"/>
              <w:jc w:val="both"/>
              <w:rPr>
                <w:rFonts w:cs="宋体" w:asciiTheme="minorEastAsia" w:hAnsiTheme="minorEastAsia"/>
                <w:kern w:val="0"/>
                <w:szCs w:val="21"/>
              </w:rPr>
            </w:pPr>
            <w:bookmarkStart w:id="5" w:name="证书编号"/>
            <w:bookmarkEnd w:id="5"/>
            <w:r>
              <w:rPr>
                <w:rFonts w:cs="宋体" w:asciiTheme="minorEastAsia" w:hAnsiTheme="minorEastAsia"/>
                <w:kern w:val="0"/>
                <w:szCs w:val="21"/>
              </w:rPr>
              <w:t>ISC-2018-0252</w:t>
            </w:r>
          </w:p>
        </w:tc>
        <w:tc>
          <w:tcPr>
            <w:tcW w:w="1710" w:type="dxa"/>
            <w:vAlign w:val="center"/>
          </w:tcPr>
          <w:p>
            <w:pPr>
              <w:tabs>
                <w:tab w:val="left" w:pos="880"/>
              </w:tabs>
              <w:autoSpaceDE w:val="0"/>
              <w:autoSpaceDN w:val="0"/>
              <w:adjustRightInd w:val="0"/>
              <w:spacing w:before="35" w:line="276" w:lineRule="auto"/>
              <w:ind w:right="161"/>
              <w:jc w:val="both"/>
              <w:rPr>
                <w:rFonts w:cs="宋体" w:asciiTheme="minorEastAsia" w:hAnsiTheme="minorEastAsia"/>
                <w:kern w:val="0"/>
                <w:szCs w:val="21"/>
              </w:rPr>
            </w:pPr>
            <w:r>
              <w:rPr>
                <w:rFonts w:hint="eastAsia" w:cs="宋体" w:asciiTheme="minorEastAsia" w:hAnsiTheme="minorEastAsia"/>
                <w:kern w:val="0"/>
                <w:szCs w:val="21"/>
              </w:rPr>
              <w:t>证书有效期</w:t>
            </w:r>
          </w:p>
        </w:tc>
        <w:tc>
          <w:tcPr>
            <w:tcW w:w="2125" w:type="dxa"/>
            <w:vAlign w:val="top"/>
          </w:tcPr>
          <w:p>
            <w:pPr>
              <w:tabs>
                <w:tab w:val="left" w:pos="880"/>
              </w:tabs>
              <w:autoSpaceDE w:val="0"/>
              <w:autoSpaceDN w:val="0"/>
              <w:adjustRightInd w:val="0"/>
              <w:spacing w:before="35" w:line="276" w:lineRule="auto"/>
              <w:ind w:right="161"/>
              <w:jc w:val="both"/>
              <w:rPr>
                <w:rFonts w:cs="宋体" w:asciiTheme="minorEastAsia" w:hAnsiTheme="minorEastAsia"/>
                <w:kern w:val="0"/>
                <w:szCs w:val="21"/>
              </w:rPr>
            </w:pPr>
            <w:bookmarkStart w:id="6" w:name="证书有效期"/>
            <w:bookmarkEnd w:id="6"/>
            <w:r>
              <w:rPr>
                <w:rFonts w:cs="宋体" w:asciiTheme="minorEastAsia" w:hAnsiTheme="minorEastAsia"/>
                <w:kern w:val="0"/>
                <w:szCs w:val="21"/>
              </w:rPr>
              <w:t>2023-05-28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4" w:type="dxa"/>
            <w:vAlign w:val="center"/>
          </w:tcPr>
          <w:p>
            <w:pPr>
              <w:tabs>
                <w:tab w:val="left" w:pos="880"/>
              </w:tabs>
              <w:autoSpaceDE w:val="0"/>
              <w:autoSpaceDN w:val="0"/>
              <w:adjustRightInd w:val="0"/>
              <w:spacing w:before="35" w:line="276" w:lineRule="auto"/>
              <w:ind w:right="161"/>
              <w:jc w:val="both"/>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840" w:type="dxa"/>
            <w:vAlign w:val="center"/>
          </w:tcPr>
          <w:p>
            <w:pPr>
              <w:tabs>
                <w:tab w:val="left" w:pos="880"/>
              </w:tabs>
              <w:autoSpaceDE w:val="0"/>
              <w:autoSpaceDN w:val="0"/>
              <w:adjustRightInd w:val="0"/>
              <w:spacing w:before="35" w:line="276" w:lineRule="auto"/>
              <w:ind w:right="161"/>
              <w:jc w:val="both"/>
              <w:rPr>
                <w:rFonts w:cs="宋体" w:asciiTheme="minorEastAsia" w:hAnsiTheme="minorEastAsia"/>
                <w:kern w:val="0"/>
                <w:szCs w:val="21"/>
              </w:rPr>
            </w:pPr>
            <w:bookmarkStart w:id="7" w:name="监督次数"/>
            <w:r>
              <w:rPr>
                <w:rFonts w:cs="宋体" w:asciiTheme="minorEastAsia" w:hAnsiTheme="minorEastAsia"/>
                <w:kern w:val="0"/>
                <w:szCs w:val="21"/>
              </w:rPr>
              <w:t>一</w:t>
            </w:r>
            <w:bookmarkEnd w:id="7"/>
          </w:p>
        </w:tc>
        <w:tc>
          <w:tcPr>
            <w:tcW w:w="1710" w:type="dxa"/>
            <w:vAlign w:val="center"/>
          </w:tcPr>
          <w:p>
            <w:pPr>
              <w:tabs>
                <w:tab w:val="left" w:pos="880"/>
              </w:tabs>
              <w:autoSpaceDE w:val="0"/>
              <w:autoSpaceDN w:val="0"/>
              <w:adjustRightInd w:val="0"/>
              <w:spacing w:before="35" w:line="276" w:lineRule="auto"/>
              <w:ind w:right="161"/>
              <w:jc w:val="both"/>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125" w:type="dxa"/>
            <w:vAlign w:val="top"/>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20</w:t>
            </w:r>
            <w:r>
              <w:rPr>
                <w:rFonts w:hint="eastAsia" w:cs="宋体" w:asciiTheme="minorEastAsia" w:hAnsiTheme="minorEastAsia"/>
                <w:kern w:val="0"/>
                <w:szCs w:val="21"/>
                <w:lang w:val="en-US" w:eastAsia="zh-CN"/>
              </w:rPr>
              <w:t>2</w:t>
            </w:r>
            <w:r>
              <w:rPr>
                <w:rFonts w:cs="宋体" w:asciiTheme="minorEastAsia" w:hAnsiTheme="minorEastAsia"/>
                <w:kern w:val="0"/>
                <w:szCs w:val="21"/>
              </w:rPr>
              <w:t>年</w:t>
            </w:r>
            <w:r>
              <w:rPr>
                <w:rFonts w:hint="eastAsia" w:cs="宋体" w:asciiTheme="minorEastAsia" w:hAnsiTheme="minorEastAsia"/>
                <w:kern w:val="0"/>
                <w:szCs w:val="21"/>
                <w:lang w:val="en-US" w:eastAsia="zh-CN"/>
              </w:rPr>
              <w:t>7</w:t>
            </w:r>
            <w:r>
              <w:rPr>
                <w:rFonts w:cs="宋体" w:asciiTheme="minorEastAsia" w:hAnsiTheme="minorEastAsia"/>
                <w:kern w:val="0"/>
                <w:szCs w:val="21"/>
              </w:rPr>
              <w:t>月</w:t>
            </w:r>
            <w:r>
              <w:rPr>
                <w:rFonts w:hint="eastAsia" w:cs="宋体" w:asciiTheme="minorEastAsia" w:hAnsiTheme="minorEastAsia"/>
                <w:kern w:val="0"/>
                <w:szCs w:val="21"/>
                <w:lang w:val="en-US" w:eastAsia="zh-CN"/>
              </w:rPr>
              <w:t>26</w:t>
            </w:r>
            <w:r>
              <w:rPr>
                <w:rFonts w:cs="宋体" w:asciiTheme="minorEastAsia" w:hAnsiTheme="minorEastAsia"/>
                <w:kern w:val="0"/>
                <w:szCs w:val="21"/>
              </w:rPr>
              <w:t xml:space="preserve">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724"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840" w:type="dxa"/>
            <w:vAlign w:val="center"/>
          </w:tcPr>
          <w:p>
            <w:pPr>
              <w:tabs>
                <w:tab w:val="left" w:pos="880"/>
              </w:tabs>
              <w:autoSpaceDE w:val="0"/>
              <w:autoSpaceDN w:val="0"/>
              <w:adjustRightInd w:val="0"/>
              <w:spacing w:before="35" w:line="240" w:lineRule="auto"/>
              <w:ind w:right="161"/>
              <w:jc w:val="both"/>
              <w:rPr>
                <w:color w:val="000000"/>
                <w:szCs w:val="21"/>
              </w:rPr>
            </w:pPr>
            <w:r>
              <w:rPr>
                <w:rFonts w:hint="eastAsia" w:cs="宋体" w:asciiTheme="minorEastAsia" w:hAnsiTheme="minorEastAsia"/>
                <w:kern w:val="0"/>
                <w:szCs w:val="21"/>
                <w:lang w:val="en-US" w:eastAsia="zh-CN"/>
              </w:rPr>
              <w:t xml:space="preserve">张龙光 </w:t>
            </w:r>
            <w:r>
              <w:rPr>
                <w:color w:val="000000"/>
                <w:szCs w:val="21"/>
              </w:rPr>
              <w:t>ISC[S]0201</w:t>
            </w:r>
          </w:p>
          <w:p>
            <w:pPr>
              <w:tabs>
                <w:tab w:val="left" w:pos="880"/>
              </w:tabs>
              <w:autoSpaceDE w:val="0"/>
              <w:autoSpaceDN w:val="0"/>
              <w:adjustRightInd w:val="0"/>
              <w:spacing w:before="35" w:line="240" w:lineRule="auto"/>
              <w:ind w:right="161"/>
              <w:jc w:val="both"/>
              <w:rPr>
                <w:rFonts w:hint="eastAsia" w:eastAsiaTheme="minorEastAsia"/>
                <w:color w:val="000000"/>
                <w:szCs w:val="21"/>
                <w:lang w:val="en-US" w:eastAsia="zh-CN"/>
              </w:rPr>
            </w:pPr>
            <w:r>
              <w:rPr>
                <w:rFonts w:hint="eastAsia"/>
                <w:color w:val="000000"/>
                <w:szCs w:val="21"/>
                <w:lang w:val="en-US" w:eastAsia="zh-CN"/>
              </w:rPr>
              <w:t xml:space="preserve">高喜静 </w:t>
            </w:r>
            <w:r>
              <w:rPr>
                <w:color w:val="000000"/>
                <w:szCs w:val="21"/>
              </w:rPr>
              <w:t>ISC[S]020</w:t>
            </w:r>
            <w:r>
              <w:rPr>
                <w:rFonts w:hint="eastAsia"/>
                <w:color w:val="000000"/>
                <w:szCs w:val="21"/>
                <w:lang w:val="en-US" w:eastAsia="zh-CN"/>
              </w:rPr>
              <w:t>2</w:t>
            </w:r>
          </w:p>
        </w:tc>
        <w:tc>
          <w:tcPr>
            <w:tcW w:w="1710"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125" w:type="dxa"/>
            <w:vAlign w:val="top"/>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kern w:val="0"/>
                <w:szCs w:val="21"/>
              </w:rPr>
              <w:t>技术质量部</w:t>
            </w:r>
            <w:r>
              <w:rPr>
                <w:rFonts w:hint="eastAsia" w:cs="宋体" w:asciiTheme="minorEastAsia" w:hAnsiTheme="minorEastAsia"/>
                <w:kern w:val="0"/>
                <w:szCs w:val="21"/>
                <w:lang w:eastAsia="zh-CN"/>
              </w:rPr>
              <w:t>、</w:t>
            </w:r>
            <w:r>
              <w:rPr>
                <w:rFonts w:hint="eastAsia" w:cs="宋体" w:asciiTheme="minorEastAsia" w:hAnsiTheme="minorEastAsia"/>
                <w:kern w:val="0"/>
                <w:szCs w:val="21"/>
              </w:rPr>
              <w:t>营销部</w:t>
            </w:r>
            <w:r>
              <w:rPr>
                <w:rFonts w:hint="eastAsia" w:cs="宋体" w:asciiTheme="minorEastAsia" w:hAnsiTheme="minorEastAsia"/>
                <w:kern w:val="0"/>
                <w:szCs w:val="21"/>
                <w:lang w:eastAsia="zh-CN"/>
              </w:rPr>
              <w:t>、</w:t>
            </w:r>
            <w:r>
              <w:rPr>
                <w:rFonts w:hint="eastAsia" w:cs="宋体" w:asciiTheme="minorEastAsia" w:hAnsiTheme="minorEastAsia"/>
                <w:kern w:val="0"/>
                <w:szCs w:val="21"/>
              </w:rPr>
              <w:t>生产部、生产车间</w:t>
            </w:r>
            <w:r>
              <w:rPr>
                <w:rFonts w:hint="eastAsia" w:cs="宋体" w:asciiTheme="minorEastAsia" w:hAnsiTheme="minorEastAsia"/>
                <w:kern w:val="0"/>
                <w:szCs w:val="21"/>
                <w:lang w:eastAsia="zh-CN"/>
              </w:rPr>
              <w:t>、</w:t>
            </w:r>
            <w:r>
              <w:rPr>
                <w:rFonts w:hint="eastAsia" w:cs="宋体" w:asciiTheme="minorEastAsia" w:hAnsiTheme="minorEastAsia"/>
                <w:kern w:val="0"/>
                <w:szCs w:val="21"/>
              </w:rPr>
              <w:t xml:space="preserve">综合办公室 </w:t>
            </w:r>
          </w:p>
        </w:tc>
      </w:tr>
    </w:tbl>
    <w:p>
      <w:pPr>
        <w:widowControl/>
        <w:spacing w:line="276" w:lineRule="auto"/>
        <w:rPr>
          <w:rFonts w:hint="eastAsia" w:cs="宋体" w:asciiTheme="minorEastAsia" w:hAnsiTheme="minorEastAsia"/>
          <w:b/>
          <w:bCs/>
          <w:kern w:val="0"/>
          <w:szCs w:val="21"/>
        </w:rPr>
      </w:pPr>
    </w:p>
    <w:p>
      <w:pPr>
        <w:widowControl/>
        <w:numPr>
          <w:ilvl w:val="0"/>
          <w:numId w:val="1"/>
        </w:numPr>
        <w:spacing w:line="276" w:lineRule="auto"/>
        <w:rPr>
          <w:rFonts w:hint="eastAsia" w:cs="宋体" w:asciiTheme="minorEastAsia" w:hAnsiTheme="minorEastAsia"/>
          <w:bCs/>
          <w:kern w:val="0"/>
          <w:szCs w:val="21"/>
        </w:rPr>
      </w:pP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numPr>
          <w:numId w:val="0"/>
        </w:numPr>
        <w:spacing w:line="276" w:lineRule="auto"/>
        <w:rPr>
          <w:rFonts w:hint="eastAsia" w:cs="宋体" w:asciiTheme="minorEastAsia" w:hAnsiTheme="minorEastAsia"/>
          <w:bCs/>
          <w:kern w:val="0"/>
          <w:szCs w:val="21"/>
        </w:rPr>
      </w:pP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lang w:val="en-US" w:eastAsia="zh-CN"/>
        </w:rPr>
        <w:t>自上次监督审核以来</w:t>
      </w:r>
      <w:r>
        <w:rPr>
          <w:rFonts w:hint="eastAsia" w:ascii="宋体" w:hAnsi="宋体" w:cs="宋体"/>
          <w:bCs/>
          <w:kern w:val="0"/>
          <w:szCs w:val="21"/>
        </w:rPr>
        <w:t>，公司日常运行中生产、经营、安全、销售及管理方面，比去年都有很大的提升，未见违反法律、法规问题或重大质量事故发生。</w:t>
      </w:r>
    </w:p>
    <w:p>
      <w:pPr>
        <w:widowControl/>
        <w:numPr>
          <w:ilvl w:val="0"/>
          <w:numId w:val="2"/>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为有效评价公司测量管理体系获证后一年以来的运行情况，在现场审核中，审核组抽样检查了涉及公司测量体系内的管理、生产、经营、质量和安全等方面的4个职能部门和1个生产车间。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numPr>
          <w:ilvl w:val="0"/>
          <w:numId w:val="2"/>
        </w:numPr>
        <w:spacing w:line="276" w:lineRule="auto"/>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rPr>
          <w:rFonts w:ascii="宋体" w:hAnsi="宋体" w:cs="宋体"/>
          <w:bCs/>
          <w:kern w:val="0"/>
          <w:szCs w:val="21"/>
        </w:rPr>
      </w:pPr>
      <w:r>
        <w:rPr>
          <w:rFonts w:hint="eastAsia" w:ascii="宋体" w:hAnsi="宋体" w:cs="宋体"/>
          <w:bCs/>
          <w:kern w:val="0"/>
          <w:szCs w:val="21"/>
        </w:rPr>
        <w:t>3.1公司的测量管理体系内审：</w:t>
      </w:r>
    </w:p>
    <w:p>
      <w:pPr>
        <w:widowControl/>
        <w:spacing w:line="360" w:lineRule="auto"/>
        <w:ind w:firstLine="420" w:firstLineChars="200"/>
        <w:rPr>
          <w:rFonts w:ascii="宋体" w:hAnsi="宋体" w:eastAsia="宋体" w:cs="宋体"/>
          <w:bCs/>
          <w:kern w:val="0"/>
          <w:szCs w:val="21"/>
        </w:rPr>
      </w:pPr>
      <w:r>
        <w:rPr>
          <w:rFonts w:hint="eastAsia"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3</w:t>
      </w:r>
      <w:r>
        <w:rPr>
          <w:rFonts w:hint="eastAsia" w:ascii="宋体" w:hAnsi="宋体" w:cs="宋体"/>
          <w:bCs/>
          <w:kern w:val="0"/>
          <w:szCs w:val="21"/>
        </w:rPr>
        <w:t>月1</w:t>
      </w:r>
      <w:r>
        <w:rPr>
          <w:rFonts w:hint="eastAsia" w:ascii="宋体" w:hAnsi="宋体" w:cs="宋体"/>
          <w:bCs/>
          <w:kern w:val="0"/>
          <w:szCs w:val="21"/>
          <w:lang w:val="en-US" w:eastAsia="zh-CN"/>
        </w:rPr>
        <w:t>6</w:t>
      </w:r>
      <w:r>
        <w:rPr>
          <w:rFonts w:hint="eastAsia" w:ascii="宋体" w:hAnsi="宋体" w:cs="宋体"/>
          <w:bCs/>
          <w:kern w:val="0"/>
          <w:szCs w:val="21"/>
        </w:rPr>
        <w:t>日，组织了公司测量管理体系内部审核，</w:t>
      </w:r>
      <w:r>
        <w:rPr>
          <w:rFonts w:hint="eastAsia" w:ascii="宋体" w:hAnsi="宋体" w:cs="宋体"/>
          <w:bCs/>
          <w:kern w:val="0"/>
          <w:szCs w:val="21"/>
          <w:lang w:val="en-US" w:eastAsia="zh-CN"/>
        </w:rPr>
        <w:t>臧胜</w:t>
      </w:r>
      <w:r>
        <w:rPr>
          <w:rFonts w:hint="eastAsia" w:ascii="宋体" w:hAnsi="宋体" w:cs="宋体"/>
          <w:bCs/>
          <w:kern w:val="0"/>
          <w:szCs w:val="21"/>
        </w:rPr>
        <w:t>任组长参与审核。内审组对公司包括管理层在内的4个职能部门和生产车间进行了全要素的审核。内部审核发现1个不符合项，制定了相关的预防纠正措施，并在规定时间内，完成整改工作，不符合项已关闭。</w:t>
      </w:r>
    </w:p>
    <w:p>
      <w:pPr>
        <w:widowControl/>
        <w:spacing w:line="360" w:lineRule="auto"/>
        <w:rPr>
          <w:rFonts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3</w:t>
      </w:r>
      <w:r>
        <w:rPr>
          <w:rFonts w:hint="eastAsia" w:ascii="宋体" w:hAnsi="宋体" w:cs="宋体"/>
          <w:bCs/>
          <w:kern w:val="0"/>
          <w:szCs w:val="21"/>
        </w:rPr>
        <w:t>月</w:t>
      </w:r>
      <w:r>
        <w:rPr>
          <w:rFonts w:hint="eastAsia" w:ascii="宋体" w:hAnsi="宋体" w:cs="宋体"/>
          <w:bCs/>
          <w:kern w:val="0"/>
          <w:szCs w:val="21"/>
          <w:lang w:val="en-US" w:eastAsia="zh-CN"/>
        </w:rPr>
        <w:t>26</w:t>
      </w:r>
      <w:r>
        <w:rPr>
          <w:rFonts w:hint="eastAsia" w:ascii="宋体" w:hAnsi="宋体" w:cs="宋体"/>
          <w:bCs/>
          <w:kern w:val="0"/>
          <w:szCs w:val="21"/>
        </w:rPr>
        <w:t>日，开展了测量体系管理评审，会议由总经理</w:t>
      </w:r>
      <w:r>
        <w:rPr>
          <w:rFonts w:hint="eastAsia"/>
          <w:szCs w:val="21"/>
          <w:lang w:eastAsia="zh-CN"/>
        </w:rPr>
        <w:t>赵春新</w:t>
      </w:r>
      <w:r>
        <w:rPr>
          <w:rFonts w:hint="eastAsia" w:ascii="宋体" w:hAnsi="宋体" w:cs="宋体"/>
          <w:bCs/>
          <w:kern w:val="0"/>
          <w:szCs w:val="21"/>
        </w:rPr>
        <w:t>主持，管评会上肯定了公司测量管理体系的充分性、有效性和适宜性。形成了管理评审报告。对公司测量管理体系中存在的</w:t>
      </w:r>
      <w:r>
        <w:rPr>
          <w:rFonts w:hint="eastAsia" w:ascii="宋体" w:hAnsi="宋体"/>
          <w:szCs w:val="21"/>
        </w:rPr>
        <w:t>计量器具、产品技术文件、检验记录的管理上的薄弱环节</w:t>
      </w:r>
      <w:r>
        <w:rPr>
          <w:rFonts w:hint="eastAsia" w:ascii="宋体" w:hAnsi="宋体" w:cs="宋体"/>
          <w:bCs/>
          <w:kern w:val="0"/>
          <w:szCs w:val="21"/>
        </w:rPr>
        <w:t>，提出规范产品技术文件、检测记录，加强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numPr>
          <w:ilvl w:val="0"/>
          <w:numId w:val="2"/>
        </w:numPr>
        <w:spacing w:line="276" w:lineRule="auto"/>
        <w:rPr>
          <w:rFonts w:cs="宋体" w:asciiTheme="minorEastAsia" w:hAnsiTheme="minorEastAsia"/>
          <w:bCs/>
          <w:kern w:val="0"/>
          <w:szCs w:val="21"/>
        </w:rPr>
      </w:pPr>
      <w:r>
        <w:rPr>
          <w:rFonts w:hint="eastAsia" w:asciiTheme="minorEastAsia" w:hAnsiTheme="minorEastAsia"/>
          <w:bCs/>
          <w:szCs w:val="21"/>
        </w:rPr>
        <w:t>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p>
    <w:p>
      <w:pPr>
        <w:widowControl/>
        <w:spacing w:line="360" w:lineRule="auto"/>
        <w:rPr>
          <w:rFonts w:hint="eastAsia"/>
          <w:szCs w:val="21"/>
        </w:rPr>
      </w:pPr>
      <w:r>
        <w:rPr>
          <w:rFonts w:hint="eastAsia"/>
          <w:szCs w:val="21"/>
        </w:rPr>
        <w:t>4.1 该企业主要是：金刚石钻头、石油钻采工具、测试工具的加工及其售后服务（需资质的除外），共识别</w:t>
      </w:r>
      <w:r>
        <w:rPr>
          <w:rFonts w:hint="eastAsia"/>
          <w:szCs w:val="21"/>
          <w:lang w:val="en-US" w:eastAsia="zh-CN"/>
        </w:rPr>
        <w:t>封隔器总装</w:t>
      </w:r>
      <w:r>
        <w:rPr>
          <w:rFonts w:hint="eastAsia"/>
          <w:szCs w:val="21"/>
        </w:rPr>
        <w:t>水压密封试验测量等</w:t>
      </w:r>
      <w:r>
        <w:rPr>
          <w:rFonts w:hint="eastAsia"/>
          <w:szCs w:val="21"/>
          <w:lang w:val="en-US" w:eastAsia="zh-CN"/>
        </w:rPr>
        <w:t>24</w:t>
      </w:r>
      <w:r>
        <w:rPr>
          <w:rFonts w:hint="eastAsia"/>
          <w:szCs w:val="21"/>
        </w:rPr>
        <w:t>个测量过程，</w:t>
      </w:r>
      <w:r>
        <w:rPr>
          <w:rFonts w:hint="eastAsia"/>
          <w:szCs w:val="21"/>
          <w:lang w:val="en-US" w:eastAsia="zh-CN"/>
        </w:rPr>
        <w:t>封隔器总装</w:t>
      </w:r>
      <w:r>
        <w:rPr>
          <w:rFonts w:hint="eastAsia"/>
          <w:szCs w:val="21"/>
        </w:rPr>
        <w:t>水压密封试验测量过程为高度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宋体" w:hAnsi="宋体" w:cs="宋体"/>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检查了企业的测量设备《计量确认明细表》，对</w:t>
      </w:r>
      <w:r>
        <w:rPr>
          <w:rFonts w:hint="eastAsia" w:ascii="宋体" w:hAnsi="宋体" w:cs="宋体"/>
          <w:bCs/>
          <w:kern w:val="0"/>
          <w:szCs w:val="21"/>
          <w:lang w:val="en-US" w:eastAsia="zh-CN"/>
        </w:rPr>
        <w:t>10</w:t>
      </w:r>
      <w:r>
        <w:rPr>
          <w:rFonts w:hint="eastAsia" w:ascii="宋体" w:hAnsi="宋体" w:cs="宋体"/>
          <w:bCs/>
          <w:kern w:val="0"/>
          <w:szCs w:val="21"/>
        </w:rPr>
        <w:t>台件测量设备器具进行了计量确认和验证。全部在有效期内，验证结果均为合格。关键测量过程：</w:t>
      </w:r>
      <w:r>
        <w:rPr>
          <w:rFonts w:hint="eastAsia" w:ascii="宋体" w:hAnsi="宋体" w:cs="宋体"/>
          <w:bCs/>
          <w:kern w:val="0"/>
          <w:szCs w:val="21"/>
          <w:lang w:val="en-US" w:eastAsia="zh-CN"/>
        </w:rPr>
        <w:t>封隔器总装</w:t>
      </w:r>
      <w:r>
        <w:rPr>
          <w:rFonts w:hint="eastAsia" w:ascii="宋体" w:hAnsi="宋体" w:cs="宋体"/>
          <w:bCs/>
          <w:kern w:val="0"/>
          <w:szCs w:val="21"/>
        </w:rPr>
        <w:t>水压密封试验测量，计量性能测试、监视记录、监视控制图，均已按测量过程控制规范，进行了有效性监视和记录统计。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4.3. </w:t>
      </w:r>
      <w:r>
        <w:rPr>
          <w:rFonts w:hint="eastAsia" w:ascii="宋体" w:hAnsi="宋体" w:cs="宋体"/>
          <w:bCs/>
          <w:kern w:val="0"/>
          <w:szCs w:val="21"/>
        </w:rPr>
        <w:t>企业</w:t>
      </w:r>
      <w:r>
        <w:rPr>
          <w:rFonts w:hint="eastAsia"/>
          <w:szCs w:val="21"/>
          <w:lang w:val="en-US" w:eastAsia="zh-CN"/>
        </w:rPr>
        <w:t>封隔器总装</w:t>
      </w:r>
      <w:r>
        <w:rPr>
          <w:rFonts w:hint="eastAsia"/>
          <w:szCs w:val="21"/>
        </w:rPr>
        <w:t>水压密封试验测量</w:t>
      </w:r>
      <w:r>
        <w:rPr>
          <w:rFonts w:hint="eastAsia" w:ascii="宋体" w:hAnsi="宋体" w:cs="宋体"/>
          <w:bCs/>
          <w:kern w:val="0"/>
          <w:szCs w:val="21"/>
        </w:rPr>
        <w:t>过程，查看了关键测量过程，计量要求导出方法基本正确；测量设备的配备满足计量要求，测量设备经过校准，测量设备验证方法正确。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rPr>
        <w:t>.查《</w:t>
      </w:r>
      <w:r>
        <w:rPr>
          <w:rFonts w:hint="eastAsia" w:cs="宋体"/>
          <w:szCs w:val="21"/>
          <w:lang w:eastAsia="zh-CN"/>
        </w:rPr>
        <w:t>封隔器总装水压密封试验测量</w:t>
      </w:r>
      <w:r>
        <w:rPr>
          <w:rFonts w:hint="eastAsia" w:ascii="宋体" w:hAnsi="宋体" w:cs="宋体"/>
          <w:bCs/>
          <w:kern w:val="0"/>
          <w:szCs w:val="21"/>
        </w:rPr>
        <w:t>过程不确定度评定》，方法和结果正确；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rPr>
        <w:t>.查《</w:t>
      </w:r>
      <w:r>
        <w:rPr>
          <w:rFonts w:hint="eastAsia" w:cs="宋体"/>
          <w:szCs w:val="21"/>
          <w:lang w:eastAsia="zh-CN"/>
        </w:rPr>
        <w:t>封隔器总装水压密封试验测量</w:t>
      </w:r>
      <w:r>
        <w:rPr>
          <w:rFonts w:hint="eastAsia" w:ascii="宋体" w:hAnsi="宋体" w:cs="宋体"/>
          <w:bCs/>
          <w:kern w:val="0"/>
          <w:szCs w:val="21"/>
        </w:rPr>
        <w:t>过程计量要求导出和计量验证记录表》，信息内容完整、正确。</w:t>
      </w:r>
    </w:p>
    <w:p>
      <w:pPr>
        <w:widowControl/>
        <w:spacing w:line="276" w:lineRule="auto"/>
        <w:rPr>
          <w:rFonts w:cs="宋体" w:asciiTheme="minorEastAsia" w:hAnsiTheme="minorEastAsia"/>
          <w:kern w:val="0"/>
          <w:szCs w:val="21"/>
        </w:rPr>
      </w:pPr>
      <w:r>
        <w:rPr>
          <w:rFonts w:hint="eastAsia" w:asciiTheme="minorEastAsia" w:hAnsiTheme="minorEastAsia"/>
          <w:bCs/>
          <w:szCs w:val="21"/>
        </w:rPr>
        <w:t>5.对认证审核时提出的的不符合项的纠正措施情况表述</w:t>
      </w:r>
      <w:r>
        <w:rPr>
          <w:rFonts w:cs="宋体" w:asciiTheme="minorEastAsia" w:hAnsiTheme="minorEastAsia"/>
          <w:bCs/>
          <w:kern w:val="0"/>
          <w:szCs w:val="21"/>
        </w:rPr>
        <w:t>：</w:t>
      </w:r>
      <w:r>
        <w:rPr>
          <w:rFonts w:cs="宋体" w:asciiTheme="minorEastAsia" w:hAnsiTheme="minorEastAsia"/>
          <w:kern w:val="0"/>
          <w:szCs w:val="21"/>
        </w:rPr>
        <w:t> </w:t>
      </w:r>
    </w:p>
    <w:p>
      <w:pPr>
        <w:widowControl/>
        <w:spacing w:line="360" w:lineRule="auto"/>
        <w:ind w:firstLine="420" w:firstLineChars="200"/>
        <w:jc w:val="left"/>
        <w:rPr>
          <w:rFonts w:ascii="宋体" w:hAnsi="宋体" w:cs="宋体"/>
          <w:kern w:val="0"/>
          <w:szCs w:val="21"/>
        </w:rPr>
      </w:pPr>
      <w:r>
        <w:rPr>
          <w:rFonts w:hint="eastAsia" w:ascii="宋体" w:hAnsi="宋体"/>
          <w:bCs/>
          <w:szCs w:val="21"/>
        </w:rPr>
        <w:t>公司对上年度审核中的</w:t>
      </w:r>
      <w:r>
        <w:rPr>
          <w:rFonts w:hint="eastAsia" w:ascii="宋体" w:hAnsi="宋体"/>
          <w:bCs/>
          <w:szCs w:val="21"/>
          <w:lang w:val="en-US" w:eastAsia="zh-CN"/>
        </w:rPr>
        <w:t>1</w:t>
      </w:r>
      <w:r>
        <w:rPr>
          <w:rFonts w:hint="eastAsia" w:ascii="宋体" w:hAnsi="宋体"/>
          <w:bCs/>
          <w:szCs w:val="21"/>
        </w:rPr>
        <w:t>个不符合项，及时制定整改计划，采取了如下纠正措施：</w:t>
      </w:r>
      <w:r>
        <w:rPr>
          <w:rFonts w:hint="eastAsia" w:ascii="宋体" w:hAnsi="宋体"/>
          <w:bCs/>
          <w:szCs w:val="21"/>
          <w:lang w:val="en-US" w:eastAsia="zh-CN"/>
        </w:rPr>
        <w:t>公司购买了</w:t>
      </w:r>
      <w:r>
        <w:rPr>
          <w:rFonts w:hint="eastAsia" w:ascii="宋体" w:hAnsi="宋体" w:cs="宋体"/>
          <w:kern w:val="0"/>
          <w:szCs w:val="21"/>
        </w:rPr>
        <w:t>产品标准《封隔器和桥塞，API SPEC 11D1》的《勘误1》标准，</w:t>
      </w:r>
      <w:r>
        <w:rPr>
          <w:rFonts w:hint="eastAsia" w:ascii="宋体" w:hAnsi="宋体" w:cs="宋体"/>
          <w:kern w:val="0"/>
          <w:szCs w:val="21"/>
          <w:lang w:val="en-US" w:eastAsia="zh-CN"/>
        </w:rPr>
        <w:t>纳入到标准有效文件目录中，</w:t>
      </w:r>
      <w:r>
        <w:rPr>
          <w:rFonts w:hint="eastAsia"/>
          <w:color w:val="auto"/>
          <w:szCs w:val="21"/>
          <w:lang w:val="en-US" w:eastAsia="zh-CN"/>
        </w:rPr>
        <w:t>对</w:t>
      </w:r>
      <w:r>
        <w:rPr>
          <w:rFonts w:hint="eastAsia" w:ascii="宋体" w:hAnsi="宋体" w:cs="宋体"/>
          <w:kern w:val="0"/>
          <w:szCs w:val="21"/>
        </w:rPr>
        <w:t>有关人员进行了培训。审核组通过对整改完成情况及纠正措施有效性进行查验，</w:t>
      </w:r>
      <w:r>
        <w:rPr>
          <w:rFonts w:hint="eastAsia" w:ascii="宋体" w:hAnsi="宋体" w:cs="宋体"/>
          <w:kern w:val="0"/>
          <w:szCs w:val="21"/>
          <w:lang w:val="en-US" w:eastAsia="zh-CN"/>
        </w:rPr>
        <w:t>认为</w:t>
      </w:r>
      <w:r>
        <w:rPr>
          <w:rFonts w:hint="eastAsia" w:ascii="宋体" w:hAnsi="宋体" w:cs="宋体"/>
          <w:kern w:val="0"/>
          <w:szCs w:val="21"/>
        </w:rPr>
        <w:t>整改资料齐全</w:t>
      </w:r>
      <w:r>
        <w:rPr>
          <w:rFonts w:hint="eastAsia" w:ascii="宋体" w:hAnsi="宋体" w:cs="宋体"/>
          <w:kern w:val="0"/>
          <w:szCs w:val="21"/>
          <w:lang w:eastAsia="zh-CN"/>
        </w:rPr>
        <w:t>，</w:t>
      </w:r>
      <w:r>
        <w:rPr>
          <w:rFonts w:hint="eastAsia" w:ascii="宋体" w:hAnsi="宋体" w:cs="宋体"/>
          <w:kern w:val="0"/>
          <w:szCs w:val="21"/>
        </w:rPr>
        <w:t>该公司所采取的纠正措施按时整改完成，纠正措施有效，</w:t>
      </w:r>
      <w:r>
        <w:rPr>
          <w:rFonts w:hint="eastAsia" w:ascii="宋体" w:hAnsi="宋体" w:cs="宋体"/>
          <w:kern w:val="0"/>
          <w:szCs w:val="21"/>
          <w:lang w:val="en-US" w:eastAsia="zh-CN"/>
        </w:rPr>
        <w:t>能够</w:t>
      </w:r>
      <w:r>
        <w:rPr>
          <w:rFonts w:hint="eastAsia" w:ascii="宋体" w:hAnsi="宋体" w:cs="宋体"/>
          <w:kern w:val="0"/>
          <w:szCs w:val="21"/>
        </w:rPr>
        <w:t>预防再次发生。同意关闭不符合项。</w:t>
      </w:r>
    </w:p>
    <w:p>
      <w:pPr>
        <w:snapToGrid w:val="0"/>
        <w:spacing w:line="460" w:lineRule="exact"/>
        <w:rPr>
          <w:rFonts w:cs="宋体" w:asciiTheme="minorEastAsia" w:hAnsiTheme="minorEastAsia"/>
          <w:bCs/>
          <w:kern w:val="0"/>
          <w:szCs w:val="21"/>
        </w:rPr>
      </w:pPr>
      <w:r>
        <w:rPr>
          <w:rFonts w:hint="eastAsia" w:cs="宋体" w:asciiTheme="minorEastAsia" w:hAnsiTheme="minorEastAsia"/>
          <w:kern w:val="0"/>
          <w:szCs w:val="21"/>
        </w:rPr>
        <w:t>6.对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公司目前尚未接到客户在产品质量、物料交接、安全、现场管理等方面的投诉和纠纷。</w:t>
      </w:r>
    </w:p>
    <w:p>
      <w:pPr>
        <w:widowControl/>
        <w:spacing w:line="360" w:lineRule="auto"/>
        <w:jc w:val="left"/>
        <w:rPr>
          <w:rFonts w:hint="eastAsia"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测量管理体系在实现获证客户目标方面的有效性及持续的运作控制情况：公司《计量工作质量目标管理程序》，规定了公司的计量方针及5项质量目标，是管理体系追求的承诺和准则，内容基本覆盖标准要素。通过顾客满意度调查来证明满足顾客的测量要求。</w:t>
      </w:r>
    </w:p>
    <w:p>
      <w:pPr>
        <w:widowControl/>
        <w:numPr>
          <w:numId w:val="0"/>
        </w:numPr>
        <w:spacing w:line="276" w:lineRule="auto"/>
        <w:rPr>
          <w:rFonts w:asciiTheme="minorEastAsia" w:hAnsiTheme="minorEastAsia"/>
          <w:bCs/>
          <w:szCs w:val="21"/>
        </w:rPr>
      </w:pPr>
      <w:r>
        <w:rPr>
          <w:rFonts w:hint="eastAsia" w:asciiTheme="minorEastAsia" w:hAnsiTheme="minorEastAsia"/>
          <w:bCs/>
          <w:szCs w:val="21"/>
          <w:lang w:val="en-US" w:eastAsia="zh-CN"/>
        </w:rPr>
        <w:t>8.</w:t>
      </w:r>
      <w:r>
        <w:rPr>
          <w:rFonts w:hint="eastAsia" w:asciiTheme="minorEastAsia" w:hAnsiTheme="minorEastAsia"/>
          <w:bCs/>
          <w:szCs w:val="21"/>
        </w:rPr>
        <w:t>对企业组织任何变更的审核</w:t>
      </w:r>
    </w:p>
    <w:p>
      <w:pPr>
        <w:widowControl/>
        <w:spacing w:line="360" w:lineRule="auto"/>
        <w:ind w:firstLine="420" w:firstLineChars="200"/>
        <w:rPr>
          <w:rFonts w:ascii="宋体" w:hAnsi="宋体" w:cs="宋体"/>
          <w:bCs/>
          <w:kern w:val="0"/>
          <w:szCs w:val="21"/>
        </w:rPr>
      </w:pPr>
      <w:r>
        <w:rPr>
          <w:rFonts w:hint="eastAsia" w:ascii="宋体" w:hAnsi="宋体" w:cs="宋体"/>
          <w:bCs/>
          <w:kern w:val="0"/>
          <w:szCs w:val="21"/>
        </w:rPr>
        <w:t>企业营业执照</w:t>
      </w:r>
      <w:r>
        <w:rPr>
          <w:rFonts w:hint="eastAsia" w:ascii="宋体" w:hAnsi="宋体" w:cs="宋体"/>
          <w:bCs/>
          <w:kern w:val="0"/>
          <w:szCs w:val="21"/>
          <w:lang w:val="en-US" w:eastAsia="zh-CN"/>
        </w:rPr>
        <w:t>未</w:t>
      </w:r>
      <w:r>
        <w:rPr>
          <w:rFonts w:hint="eastAsia" w:ascii="宋体" w:hAnsi="宋体" w:cs="宋体"/>
          <w:bCs/>
          <w:kern w:val="0"/>
          <w:szCs w:val="21"/>
        </w:rPr>
        <w:t>发生变更</w:t>
      </w:r>
      <w:r>
        <w:rPr>
          <w:rFonts w:hint="eastAsia" w:ascii="宋体" w:hAnsi="宋体" w:cs="宋体"/>
          <w:bCs/>
          <w:kern w:val="0"/>
          <w:szCs w:val="21"/>
          <w:lang w:eastAsia="zh-CN"/>
        </w:rPr>
        <w:t>，</w:t>
      </w:r>
      <w:r>
        <w:rPr>
          <w:rFonts w:hint="eastAsia" w:ascii="宋体" w:hAnsi="宋体" w:cs="宋体"/>
          <w:bCs/>
          <w:color w:val="auto"/>
          <w:kern w:val="0"/>
          <w:szCs w:val="21"/>
        </w:rPr>
        <w:t>组织结构</w:t>
      </w:r>
      <w:r>
        <w:rPr>
          <w:rFonts w:hint="eastAsia" w:ascii="宋体" w:hAnsi="宋体" w:cs="宋体"/>
          <w:bCs/>
          <w:color w:val="auto"/>
          <w:kern w:val="0"/>
          <w:szCs w:val="21"/>
          <w:lang w:val="en-US" w:eastAsia="zh-CN"/>
        </w:rPr>
        <w:t>及关键重要人员</w:t>
      </w:r>
      <w:r>
        <w:rPr>
          <w:rFonts w:hint="eastAsia" w:ascii="宋体" w:hAnsi="宋体" w:cs="宋体"/>
          <w:bCs/>
          <w:color w:val="auto"/>
          <w:kern w:val="0"/>
          <w:szCs w:val="21"/>
        </w:rPr>
        <w:t>没有变化。</w:t>
      </w:r>
    </w:p>
    <w:p>
      <w:pPr>
        <w:widowControl/>
        <w:numPr>
          <w:numId w:val="0"/>
        </w:numPr>
        <w:spacing w:line="276" w:lineRule="auto"/>
        <w:rPr>
          <w:rFonts w:cs="宋体" w:asciiTheme="minorEastAsia" w:hAnsiTheme="minorEastAsia"/>
          <w:bCs/>
          <w:kern w:val="0"/>
          <w:szCs w:val="21"/>
        </w:rPr>
      </w:pPr>
      <w:r>
        <w:rPr>
          <w:rFonts w:hint="eastAsia" w:asciiTheme="minorEastAsia" w:hAnsiTheme="minorEastAsia"/>
          <w:bCs/>
          <w:szCs w:val="21"/>
          <w:lang w:val="en-US" w:eastAsia="zh-CN"/>
        </w:rPr>
        <w:t>9.</w:t>
      </w: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rPr>
          <w:rFonts w:ascii="宋体" w:hAnsi="宋体" w:cs="宋体"/>
          <w:bCs/>
          <w:kern w:val="0"/>
          <w:szCs w:val="21"/>
        </w:rPr>
      </w:pPr>
      <w:r>
        <w:rPr>
          <w:rFonts w:hint="eastAsia" w:ascii="宋体" w:hAnsi="宋体" w:cs="宋体"/>
          <w:bCs/>
          <w:kern w:val="0"/>
          <w:szCs w:val="21"/>
        </w:rPr>
        <w:t>9.1公司测量管理体系认证证书用于开发市场，用于企业形象广告宣传；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rPr>
        <w:t>）企业用于中国石油天然气集团有限公司、</w:t>
      </w:r>
      <w:r>
        <w:rPr>
          <w:rFonts w:hint="eastAsia" w:ascii="宋体" w:hAnsi="宋体" w:cs="宋体"/>
          <w:bCs/>
          <w:kern w:val="0"/>
          <w:szCs w:val="21"/>
          <w:lang w:val="en-US" w:eastAsia="zh-CN"/>
        </w:rPr>
        <w:t>新疆油田、延长油田、</w:t>
      </w:r>
      <w:r>
        <w:rPr>
          <w:rFonts w:hint="eastAsia" w:ascii="宋体" w:hAnsi="宋体" w:cs="宋体"/>
          <w:bCs/>
          <w:kern w:val="0"/>
          <w:szCs w:val="21"/>
        </w:rPr>
        <w:t>大庆油田、辽河油田</w:t>
      </w:r>
      <w:r>
        <w:rPr>
          <w:rFonts w:hint="eastAsia" w:ascii="宋体" w:hAnsi="宋体" w:cs="宋体"/>
          <w:bCs/>
          <w:kern w:val="0"/>
          <w:szCs w:val="21"/>
          <w:lang w:eastAsia="zh-CN"/>
        </w:rPr>
        <w:t>、</w:t>
      </w:r>
      <w:r>
        <w:rPr>
          <w:rFonts w:hint="eastAsia" w:ascii="宋体" w:hAnsi="宋体" w:cs="宋体"/>
          <w:bCs/>
          <w:kern w:val="0"/>
          <w:szCs w:val="21"/>
          <w:lang w:val="en-US" w:eastAsia="zh-CN"/>
        </w:rPr>
        <w:t>西部钻探、长庆油田</w:t>
      </w:r>
      <w:r>
        <w:rPr>
          <w:rFonts w:hint="eastAsia" w:ascii="宋体" w:hAnsi="宋体" w:cs="宋体"/>
          <w:bCs/>
          <w:kern w:val="0"/>
          <w:szCs w:val="21"/>
        </w:rPr>
        <w:t>招投标加分；公司对标志的使用，符合相关标准和规定。</w:t>
      </w:r>
    </w:p>
    <w:p>
      <w:pPr>
        <w:widowControl/>
        <w:spacing w:line="360" w:lineRule="auto"/>
        <w:rPr>
          <w:rFonts w:ascii="宋体" w:hAnsi="宋体" w:cs="宋体"/>
          <w:kern w:val="0"/>
          <w:szCs w:val="21"/>
        </w:rPr>
      </w:pPr>
      <w:r>
        <w:rPr>
          <w:rFonts w:ascii="宋体" w:hAnsi="宋体" w:cs="宋体"/>
          <w:kern w:val="0"/>
          <w:szCs w:val="21"/>
        </w:rPr>
        <w:t>10.</w:t>
      </w:r>
      <w:r>
        <w:rPr>
          <w:rFonts w:hint="eastAsia" w:ascii="宋体" w:hAnsi="宋体" w:cs="宋体"/>
          <w:kern w:val="0"/>
          <w:szCs w:val="21"/>
        </w:rPr>
        <w:t>本次审核发现一般不符合项1项，未发现严重的或系统性的不符合情况。</w:t>
      </w:r>
    </w:p>
    <w:p>
      <w:pPr>
        <w:widowControl/>
        <w:spacing w:line="360" w:lineRule="auto"/>
        <w:jc w:val="left"/>
        <w:rPr>
          <w:rFonts w:hint="eastAsia" w:ascii="宋体" w:hAnsi="宋体" w:cs="宋体"/>
          <w:kern w:val="0"/>
          <w:szCs w:val="21"/>
        </w:rPr>
      </w:pPr>
      <w:r>
        <w:rPr>
          <w:rFonts w:hint="eastAsia" w:ascii="宋体" w:hAnsi="宋体" w:cs="宋体"/>
          <w:kern w:val="0"/>
          <w:szCs w:val="21"/>
        </w:rPr>
        <w:t>10.1</w:t>
      </w:r>
      <w:r>
        <w:rPr>
          <w:rFonts w:hint="eastAsia" w:ascii="宋体" w:hAnsi="宋体"/>
          <w:szCs w:val="21"/>
          <w:lang w:val="en-US" w:eastAsia="zh-CN"/>
        </w:rPr>
        <w:t>现场发现</w:t>
      </w:r>
      <w:r>
        <w:rPr>
          <w:rFonts w:hint="eastAsia" w:ascii="宋体" w:hAnsi="宋体"/>
          <w:szCs w:val="21"/>
        </w:rPr>
        <w:t>编号</w:t>
      </w:r>
      <w:r>
        <w:rPr>
          <w:rFonts w:hint="eastAsia" w:ascii="宋体" w:hAnsi="宋体"/>
          <w:szCs w:val="21"/>
          <w:lang w:val="en-US" w:eastAsia="zh-CN"/>
        </w:rPr>
        <w:t>98572的型号为CX-III的磁粉探伤仪，没有纳入到公司测量设备台账管理中，不符合</w:t>
      </w:r>
      <w:r>
        <w:rPr>
          <w:rFonts w:hint="eastAsia" w:ascii="宋体" w:hAnsi="宋体" w:cs="宋体"/>
          <w:kern w:val="0"/>
          <w:szCs w:val="21"/>
          <w:u w:val="none"/>
          <w:lang w:val="en-US" w:eastAsia="zh-CN"/>
        </w:rPr>
        <w:t>GB/T19022-2003 6.3.1条款关于“</w:t>
      </w:r>
      <w:r>
        <w:rPr>
          <w:rFonts w:hint="eastAsia" w:ascii="宋体" w:hAnsi="宋体" w:cs="宋体"/>
          <w:kern w:val="0"/>
          <w:szCs w:val="21"/>
          <w:u w:val="none"/>
          <w:lang w:eastAsia="zh-CN"/>
        </w:rPr>
        <w:t>测量设备</w:t>
      </w:r>
      <w:r>
        <w:rPr>
          <w:rFonts w:hint="eastAsia" w:ascii="宋体" w:hAnsi="宋体" w:cs="宋体"/>
          <w:kern w:val="0"/>
          <w:szCs w:val="21"/>
          <w:u w:val="none"/>
          <w:lang w:val="en-US" w:eastAsia="zh-CN"/>
        </w:rPr>
        <w:t>”</w:t>
      </w:r>
      <w:r>
        <w:rPr>
          <w:rFonts w:hint="eastAsia" w:ascii="宋体" w:hAnsi="宋体" w:cs="宋体"/>
          <w:kern w:val="0"/>
          <w:szCs w:val="21"/>
          <w:u w:val="none"/>
          <w:lang w:eastAsia="zh-CN"/>
        </w:rPr>
        <w:t>的规定</w:t>
      </w:r>
      <w:r>
        <w:rPr>
          <w:rFonts w:hint="eastAsia" w:ascii="宋体" w:hAnsi="宋体"/>
          <w:szCs w:val="21"/>
          <w:u w:val="none"/>
          <w:lang w:val="en-US" w:eastAsia="zh-CN"/>
        </w:rPr>
        <w:t>要求</w:t>
      </w:r>
      <w:r>
        <w:rPr>
          <w:rFonts w:hint="eastAsia" w:ascii="宋体" w:hAnsi="宋体" w:cs="宋体"/>
          <w:kern w:val="0"/>
          <w:szCs w:val="21"/>
        </w:rPr>
        <w:t>。属于次要不符合项。</w:t>
      </w:r>
    </w:p>
    <w:p>
      <w:pPr>
        <w:widowControl/>
        <w:spacing w:line="360" w:lineRule="auto"/>
        <w:jc w:val="left"/>
        <w:rPr>
          <w:rFonts w:ascii="宋体" w:hAnsi="宋体" w:eastAsia="宋体" w:cs="宋体"/>
          <w:bCs/>
          <w:kern w:val="0"/>
          <w:szCs w:val="21"/>
        </w:rPr>
      </w:pPr>
      <w:r>
        <w:rPr>
          <w:rFonts w:ascii="宋体" w:hAnsi="宋体" w:cs="宋体"/>
          <w:bCs/>
          <w:kern w:val="0"/>
          <w:szCs w:val="21"/>
        </w:rPr>
        <w:t>11</w:t>
      </w:r>
      <w:r>
        <w:rPr>
          <w:rFonts w:hint="eastAsia" w:ascii="宋体" w:hAnsi="宋体" w:cs="宋体"/>
          <w:bCs/>
          <w:kern w:val="0"/>
          <w:szCs w:val="21"/>
        </w:rPr>
        <w:t>.本企业为非重点用能单位，企业20</w:t>
      </w:r>
      <w:r>
        <w:rPr>
          <w:rFonts w:hint="eastAsia" w:ascii="宋体" w:hAnsi="宋体" w:cs="宋体"/>
          <w:bCs/>
          <w:kern w:val="0"/>
          <w:szCs w:val="21"/>
          <w:lang w:val="en-US" w:eastAsia="zh-CN"/>
        </w:rPr>
        <w:t>20</w:t>
      </w:r>
      <w:r>
        <w:rPr>
          <w:rFonts w:hint="eastAsia" w:ascii="宋体" w:hAnsi="宋体" w:cs="宋体"/>
          <w:bCs/>
          <w:kern w:val="0"/>
          <w:szCs w:val="21"/>
        </w:rPr>
        <w:t>年1-</w:t>
      </w:r>
      <w:r>
        <w:rPr>
          <w:rFonts w:hint="eastAsia" w:ascii="宋体" w:hAnsi="宋体" w:cs="宋体"/>
          <w:bCs/>
          <w:kern w:val="0"/>
          <w:szCs w:val="21"/>
          <w:lang w:val="en-US" w:eastAsia="zh-CN"/>
        </w:rPr>
        <w:t>6</w:t>
      </w:r>
      <w:r>
        <w:rPr>
          <w:rFonts w:hint="eastAsia" w:ascii="宋体" w:hAnsi="宋体" w:cs="宋体"/>
          <w:bCs/>
          <w:kern w:val="0"/>
          <w:szCs w:val="21"/>
        </w:rPr>
        <w:t>月耗能为</w:t>
      </w:r>
      <w:r>
        <w:rPr>
          <w:rFonts w:hint="eastAsia" w:ascii="宋体" w:hAnsi="宋体" w:cs="宋体"/>
          <w:bCs/>
          <w:kern w:val="0"/>
          <w:szCs w:val="21"/>
          <w:lang w:val="en-US" w:eastAsia="zh-CN"/>
        </w:rPr>
        <w:t>7.16</w:t>
      </w:r>
      <w:r>
        <w:rPr>
          <w:rFonts w:hint="eastAsia" w:ascii="宋体" w:hAnsi="宋体" w:cs="宋体"/>
          <w:bCs/>
          <w:kern w:val="0"/>
          <w:szCs w:val="21"/>
        </w:rPr>
        <w:t>吨标准煤，</w:t>
      </w:r>
      <w:r>
        <w:rPr>
          <w:rFonts w:hint="eastAsia" w:ascii="宋体" w:hAnsi="宋体"/>
          <w:szCs w:val="21"/>
        </w:rPr>
        <w:t>企业</w:t>
      </w:r>
      <w:r>
        <w:rPr>
          <w:rFonts w:ascii="宋体" w:hAnsi="宋体"/>
          <w:szCs w:val="21"/>
        </w:rPr>
        <w:t>的能源计量器具准确度等级</w:t>
      </w:r>
      <w:r>
        <w:rPr>
          <w:rFonts w:hint="eastAsia" w:ascii="宋体" w:hAnsi="宋体"/>
          <w:szCs w:val="21"/>
        </w:rPr>
        <w:t>：2.0</w:t>
      </w:r>
      <w:r>
        <w:rPr>
          <w:rFonts w:hint="eastAsia"/>
          <w:szCs w:val="21"/>
        </w:rPr>
        <w:t>级的三相四线电能表和2.5</w:t>
      </w:r>
      <w:r>
        <w:rPr>
          <w:rFonts w:hint="eastAsia" w:ascii="宋体" w:hAnsi="宋体" w:eastAsia="宋体" w:cs="宋体"/>
          <w:bCs/>
          <w:kern w:val="0"/>
          <w:szCs w:val="21"/>
        </w:rPr>
        <w:t>级的水表，满足GB17167标准4.3.8表4的标准要求。</w:t>
      </w:r>
    </w:p>
    <w:p>
      <w:pPr>
        <w:widowControl/>
        <w:spacing w:line="360" w:lineRule="auto"/>
        <w:rPr>
          <w:rFonts w:hint="eastAsia" w:ascii="宋体" w:hAnsi="宋体" w:cs="宋体"/>
          <w:b/>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三、监督审核结论意见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hint="eastAsia" w:ascii="宋体" w:hAnsi="宋体" w:cs="宋体"/>
          <w:bCs/>
          <w:kern w:val="0"/>
          <w:szCs w:val="21"/>
        </w:rPr>
      </w:pPr>
    </w:p>
    <w:p>
      <w:pPr>
        <w:widowControl/>
        <w:spacing w:line="360" w:lineRule="auto"/>
        <w:ind w:firstLine="420" w:firstLineChars="200"/>
        <w:jc w:val="left"/>
        <w:rPr>
          <w:rFonts w:ascii="宋体" w:hAnsi="宋体" w:cs="宋体"/>
          <w:bCs/>
          <w:kern w:val="0"/>
          <w:szCs w:val="21"/>
        </w:rPr>
      </w:pPr>
      <w:r>
        <w:rPr>
          <w:rFonts w:hint="eastAsia" w:ascii="宋体" w:hAnsi="宋体" w:cs="宋体"/>
          <w:bCs/>
          <w:kern w:val="0"/>
          <w:szCs w:val="21"/>
        </w:rPr>
        <w:t>通过</w:t>
      </w:r>
      <w:r>
        <w:rPr>
          <w:rFonts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7</w:t>
      </w:r>
      <w:r>
        <w:rPr>
          <w:rFonts w:hint="eastAsia" w:ascii="宋体" w:hAnsi="宋体" w:cs="宋体"/>
          <w:bCs/>
          <w:kern w:val="0"/>
          <w:szCs w:val="21"/>
        </w:rPr>
        <w:t>月</w:t>
      </w:r>
      <w:r>
        <w:rPr>
          <w:rFonts w:hint="eastAsia" w:ascii="宋体" w:hAnsi="宋体" w:cs="宋体"/>
          <w:bCs/>
          <w:kern w:val="0"/>
          <w:szCs w:val="21"/>
          <w:lang w:val="en-US" w:eastAsia="zh-CN"/>
        </w:rPr>
        <w:t>26</w:t>
      </w:r>
      <w:r>
        <w:rPr>
          <w:rFonts w:hint="eastAsia" w:ascii="宋体" w:hAnsi="宋体" w:cs="宋体"/>
          <w:bCs/>
          <w:kern w:val="0"/>
          <w:szCs w:val="21"/>
        </w:rPr>
        <w:t>日，对</w:t>
      </w:r>
      <w:r>
        <w:rPr>
          <w:rFonts w:hint="eastAsia" w:ascii="宋体" w:hAnsi="宋体"/>
          <w:szCs w:val="21"/>
        </w:rPr>
        <w:t>公司</w:t>
      </w:r>
      <w:r>
        <w:rPr>
          <w:rFonts w:hint="eastAsia" w:ascii="宋体" w:hAnsi="宋体" w:cs="宋体"/>
          <w:bCs/>
          <w:kern w:val="0"/>
          <w:szCs w:val="21"/>
        </w:rPr>
        <w:t>测量管理体系现场监督审核，验证了公司在测量管理体系</w:t>
      </w:r>
      <w:r>
        <w:rPr>
          <w:rFonts w:hint="eastAsia" w:ascii="宋体" w:hAnsi="宋体" w:cs="宋体"/>
          <w:bCs/>
          <w:kern w:val="0"/>
          <w:szCs w:val="21"/>
          <w:lang w:val="en-US" w:eastAsia="zh-CN"/>
        </w:rPr>
        <w:t>监督审核</w:t>
      </w:r>
      <w:r>
        <w:rPr>
          <w:rFonts w:hint="eastAsia" w:ascii="宋体" w:hAnsi="宋体" w:cs="宋体"/>
          <w:bCs/>
          <w:kern w:val="0"/>
          <w:szCs w:val="21"/>
        </w:rPr>
        <w:t>后一年</w:t>
      </w:r>
      <w:r>
        <w:rPr>
          <w:rFonts w:hint="eastAsia" w:ascii="宋体" w:hAnsi="宋体" w:cs="宋体"/>
          <w:bCs/>
          <w:kern w:val="0"/>
          <w:szCs w:val="21"/>
          <w:lang w:val="en-US" w:eastAsia="zh-CN"/>
        </w:rPr>
        <w:t>内</w:t>
      </w:r>
      <w:r>
        <w:rPr>
          <w:rFonts w:hint="eastAsia" w:ascii="宋体" w:hAnsi="宋体" w:cs="宋体"/>
          <w:bCs/>
          <w:kern w:val="0"/>
          <w:szCs w:val="21"/>
        </w:rPr>
        <w:t>，测量管理体系文件得到</w:t>
      </w:r>
      <w:r>
        <w:rPr>
          <w:rFonts w:hint="eastAsia" w:ascii="宋体" w:hAnsi="宋体" w:cs="宋体"/>
          <w:bCs/>
          <w:kern w:val="0"/>
          <w:szCs w:val="21"/>
          <w:lang w:val="en-US" w:eastAsia="zh-CN"/>
        </w:rPr>
        <w:t>持续</w:t>
      </w:r>
      <w:r>
        <w:rPr>
          <w:rFonts w:hint="eastAsia" w:ascii="宋体" w:hAnsi="宋体" w:cs="宋体"/>
          <w:bCs/>
          <w:kern w:val="0"/>
          <w:szCs w:val="21"/>
        </w:rPr>
        <w:t>实施，关键测量过程受控、监视方法正确有效，使公司测量体系持续满足顾客的测量要求。综上所述，审核组认为，牡</w:t>
      </w:r>
      <w:r>
        <w:rPr>
          <w:rFonts w:hint="eastAsia" w:ascii="宋体" w:hAnsi="宋体" w:cs="宋体"/>
          <w:bCs/>
          <w:kern w:val="0"/>
          <w:szCs w:val="21"/>
        </w:rPr>
        <w:t>丹江市新翔石油机械有限责任公司基本符合GB/T 19022-2003标准要求，对体系运行具有持续的有效性、符合性予以肯定。建议报请北京国标联合认证有限公司批准通过监督审核。</w:t>
      </w:r>
    </w:p>
    <w:p>
      <w:pPr>
        <w:widowControl/>
        <w:spacing w:line="360" w:lineRule="auto"/>
        <w:ind w:firstLine="420" w:firstLineChars="200"/>
        <w:rPr>
          <w:rFonts w:ascii="宋体" w:hAns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w:t>
      </w:r>
      <w:r>
        <w:rPr>
          <w:rFonts w:hint="eastAsia"/>
          <w:color w:val="000000"/>
          <w:szCs w:val="21"/>
        </w:rPr>
        <w:t>条建议：1、建议加强</w:t>
      </w:r>
      <w:r>
        <w:rPr>
          <w:rFonts w:hint="eastAsia"/>
          <w:color w:val="000000"/>
          <w:szCs w:val="21"/>
          <w:lang w:val="en-US" w:eastAsia="zh-CN"/>
        </w:rPr>
        <w:t>计量器具的管理，保证</w:t>
      </w:r>
      <w:r>
        <w:rPr>
          <w:rFonts w:hint="eastAsia"/>
          <w:color w:val="000000"/>
          <w:szCs w:val="21"/>
        </w:rPr>
        <w:t>产品</w:t>
      </w:r>
      <w:r>
        <w:rPr>
          <w:rFonts w:hint="eastAsia"/>
          <w:color w:val="000000"/>
          <w:szCs w:val="21"/>
          <w:lang w:val="en-US" w:eastAsia="zh-CN"/>
        </w:rPr>
        <w:t>量值追溯的要求。2、</w:t>
      </w:r>
      <w:r>
        <w:rPr>
          <w:rFonts w:hint="eastAsia" w:ascii="宋体" w:hAnsi="宋体" w:cs="宋体"/>
          <w:bCs/>
          <w:kern w:val="0"/>
          <w:szCs w:val="21"/>
        </w:rPr>
        <w:t>加强对测量管理体系标准和企业测量管理手册、技术标准的宣贯培训，明确各职能部门和体系相关人员的职责，做好人员培训工作。</w:t>
      </w:r>
      <w:r>
        <w:rPr>
          <w:rFonts w:hint="eastAsia" w:ascii="宋体" w:hAnsi="宋体" w:cs="宋体"/>
          <w:bCs/>
          <w:kern w:val="0"/>
          <w:szCs w:val="21"/>
          <w:lang w:val="en-US" w:eastAsia="zh-CN"/>
        </w:rPr>
        <w:t>3</w:t>
      </w:r>
      <w:r>
        <w:rPr>
          <w:rFonts w:hint="eastAsia" w:ascii="宋体" w:hAnsi="宋体" w:cs="宋体"/>
          <w:bCs/>
          <w:kern w:val="0"/>
          <w:szCs w:val="21"/>
        </w:rPr>
        <w:t>、</w:t>
      </w:r>
      <w:r>
        <w:rPr>
          <w:rFonts w:hint="eastAsia" w:ascii="宋体" w:hAnsi="宋体" w:cs="宋体"/>
          <w:bCs/>
          <w:kern w:val="0"/>
          <w:szCs w:val="21"/>
          <w:lang w:val="en-US" w:eastAsia="zh-CN"/>
        </w:rPr>
        <w:t>积极参与行业标准的制定和修订工作，开拓眼界，积极采用国际标准，促进公司产品的提档升级</w:t>
      </w:r>
      <w:r>
        <w:rPr>
          <w:rFonts w:hint="eastAsia" w:ascii="宋体" w:hAnsi="宋体" w:cs="宋体"/>
          <w:bCs/>
          <w:kern w:val="0"/>
          <w:szCs w:val="21"/>
        </w:rPr>
        <w:t>。</w:t>
      </w:r>
    </w:p>
    <w:p>
      <w:pPr>
        <w:widowControl/>
        <w:spacing w:line="360" w:lineRule="auto"/>
        <w:ind w:firstLine="420" w:firstLineChars="200"/>
        <w:rPr>
          <w:rFonts w:ascii="宋体" w:hAnsi="宋体" w:cs="宋体"/>
          <w:bCs/>
          <w:kern w:val="0"/>
          <w:szCs w:val="21"/>
        </w:rPr>
      </w:pPr>
    </w:p>
    <w:p>
      <w:pPr>
        <w:widowControl/>
        <w:spacing w:line="276" w:lineRule="auto"/>
        <w:jc w:val="left"/>
        <w:rPr>
          <w:rFonts w:hint="eastAsia" w:ascii="宋体" w:hAnsi="宋体" w:eastAsia="宋体" w:cs="宋体"/>
          <w:kern w:val="0"/>
          <w:szCs w:val="28"/>
        </w:rPr>
      </w:pPr>
      <w:r>
        <w:rPr>
          <w:rFonts w:hint="eastAsia" w:ascii="宋体" w:hAnsi="宋体" w:eastAsia="宋体" w:cs="宋体"/>
          <w:kern w:val="0"/>
          <w:szCs w:val="28"/>
        </w:rPr>
        <w:t>审核员 （签字）：                                           日期：</w:t>
      </w:r>
    </w:p>
    <w:p>
      <w:pPr>
        <w:widowControl/>
        <w:spacing w:line="276" w:lineRule="auto"/>
        <w:jc w:val="left"/>
        <w:rPr>
          <w:rFonts w:hint="eastAsia" w:ascii="宋体" w:hAnsi="宋体" w:eastAsia="宋体" w:cs="宋体"/>
          <w:kern w:val="0"/>
          <w:szCs w:val="28"/>
        </w:rPr>
      </w:pP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rPr>
        <w:t xml:space="preserve">        </w:t>
      </w:r>
    </w:p>
    <w:p>
      <w:pPr>
        <w:widowControl/>
        <w:numPr>
          <w:ilvl w:val="0"/>
          <w:numId w:val="3"/>
        </w:numPr>
        <w:spacing w:line="276" w:lineRule="auto"/>
        <w:ind w:right="1365"/>
        <w:rPr>
          <w:rFonts w:ascii="宋体" w:hAnsi="宋体" w:eastAsia="宋体" w:cs="宋体"/>
          <w:b/>
          <w:bCs/>
          <w:kern w:val="0"/>
          <w:szCs w:val="21"/>
        </w:rPr>
      </w:pPr>
      <w:r>
        <w:rPr>
          <w:rFonts w:hint="eastAsia" w:ascii="宋体" w:hAnsi="宋体" w:eastAsia="宋体" w:cs="宋体"/>
          <w:b/>
          <w:bCs/>
          <w:kern w:val="0"/>
          <w:szCs w:val="21"/>
        </w:rPr>
        <w:t>报告审查人意见</w:t>
      </w:r>
    </w:p>
    <w:p>
      <w:pPr>
        <w:widowControl/>
        <w:spacing w:line="276" w:lineRule="auto"/>
        <w:ind w:right="1365"/>
        <w:rPr>
          <w:rFonts w:ascii="宋体" w:hAnsi="宋体" w:eastAsia="宋体" w:cs="宋体"/>
          <w:b/>
          <w:bCs/>
          <w:kern w:val="0"/>
          <w:szCs w:val="21"/>
        </w:rPr>
      </w:pP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numPr>
          <w:ilvl w:val="0"/>
          <w:numId w:val="0"/>
        </w:numPr>
        <w:spacing w:line="360" w:lineRule="auto"/>
        <w:rPr>
          <w:rFonts w:hint="eastAsia" w:ascii="宋体" w:hAnsi="宋体" w:eastAsia="宋体" w:cs="宋体"/>
          <w:b/>
          <w:bCs/>
          <w:kern w:val="0"/>
          <w:szCs w:val="21"/>
        </w:rPr>
      </w:pPr>
    </w:p>
    <w:p>
      <w:pPr>
        <w:widowControl/>
        <w:numPr>
          <w:ilvl w:val="0"/>
          <w:numId w:val="0"/>
        </w:numPr>
        <w:spacing w:line="360" w:lineRule="auto"/>
        <w:rPr>
          <w:rFonts w:hint="eastAsia" w:cs="宋体" w:asciiTheme="minorEastAsia" w:hAnsiTheme="minorEastAsia"/>
          <w:b/>
          <w:bCs/>
          <w:kern w:val="0"/>
          <w:szCs w:val="21"/>
        </w:rPr>
      </w:pPr>
      <w:bookmarkStart w:id="10" w:name="_GoBack"/>
      <w:bookmarkEnd w:id="10"/>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6ACA1D"/>
    <w:multiLevelType w:val="singleLevel"/>
    <w:tmpl w:val="8D6ACA1D"/>
    <w:lvl w:ilvl="0" w:tentative="0">
      <w:start w:val="2"/>
      <w:numFmt w:val="decimal"/>
      <w:lvlText w:val="%1."/>
      <w:lvlJc w:val="left"/>
      <w:pPr>
        <w:tabs>
          <w:tab w:val="left" w:pos="312"/>
        </w:tabs>
      </w:pPr>
    </w:lvl>
  </w:abstractNum>
  <w:abstractNum w:abstractNumId="1">
    <w:nsid w:val="F4687BAC"/>
    <w:multiLevelType w:val="singleLevel"/>
    <w:tmpl w:val="F4687BAC"/>
    <w:lvl w:ilvl="0" w:tentative="0">
      <w:start w:val="2"/>
      <w:numFmt w:val="chineseCounting"/>
      <w:suff w:val="nothing"/>
      <w:lvlText w:val="%1、"/>
      <w:lvlJc w:val="left"/>
      <w:rPr>
        <w:rFonts w:hint="eastAsia"/>
      </w:rPr>
    </w:lvl>
  </w:abstractNum>
  <w:abstractNum w:abstractNumId="2">
    <w:nsid w:val="3FA41D6B"/>
    <w:multiLevelType w:val="singleLevel"/>
    <w:tmpl w:val="3FA41D6B"/>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FFE7D08"/>
    <w:rsid w:val="48421DFD"/>
    <w:rsid w:val="49805D59"/>
    <w:rsid w:val="4EE61FFD"/>
    <w:rsid w:val="5EB153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4</TotalTime>
  <ScaleCrop>false</ScaleCrop>
  <LinksUpToDate>false</LinksUpToDate>
  <CharactersWithSpaces>540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Administrator</cp:lastModifiedBy>
  <cp:lastPrinted>2017-09-01T06:24:00Z</cp:lastPrinted>
  <dcterms:modified xsi:type="dcterms:W3CDTF">2020-07-26T03:45:23Z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