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2018-N1EMS-2031946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2019-N1OHSMS-2031946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O:35.16.01,35.16.03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Q:35.16.03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武瑞红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ISC-JSZJ-136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ISC-JSZJ-136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ISC-JSZJ-136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成都川宜清洁有限公司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E:35.16.01,35.16.03,39.02.01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O:35.16.01,35.16.03,39.02.01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Q:35.16.03,39.02.01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ISC-JSZJ-136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李林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2019-N1EMS-1242345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2019-N1QMS-1242345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ISC-242345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四川弘毅兴物业管理有限公司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成都市双流区东升街道花月西街65号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610200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成都市双流区东升街道五洞桥北路一段28号墨香1栋9楼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610200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成都市双流区东升街道五洞桥北路一段28号墨香1栋9楼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610200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伍飞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13881762986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彭丽娜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毛彦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2020年08月12日 上午至2020年08月14日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E：35.16.01;35.16.03;39.02.01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O：35.16.01;35.16.03;39.02.01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Q：35.16.03;39.02.01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