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6095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深圳市南天门网络信息有限公司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王邦权、李毅宏</w:t>
            </w:r>
            <w:r>
              <w:rPr>
                <w:rFonts w:hint="eastAsia"/>
              </w:rPr>
              <w:t xml:space="preserve"> </w:t>
            </w:r>
            <w:r>
              <w:rPr>
                <w:rFonts w:hint="eastAsia"/>
              </w:rPr>
              <w:t>李毅宏</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9073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2025-N1EMS-1495970</w:t>
            </w:r>
          </w:p>
        </w:tc>
        <w:tc>
          <w:tcPr>
            <w:tcW w:w="3145" w:type="dxa"/>
            <w:vAlign w:val="center"/>
          </w:tcPr>
          <w:p w14:paraId="0AF64EA2">
            <w:pPr>
              <w:spacing w:line="360" w:lineRule="auto"/>
              <w:jc w:val="left"/>
              <w:rPr>
                <w:rFonts w:asciiTheme="minorEastAsia" w:eastAsiaTheme="minorEastAsia" w:hAnsiTheme="minorEastAsia"/>
                <w:szCs w:val="21"/>
              </w:rPr>
            </w:pPr>
            <w:r>
              <w:t>29.09.01,33.02.01,33.02.02,34.05.00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王邦权</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2024-N1QMS-1495970</w:t>
            </w:r>
          </w:p>
        </w:tc>
        <w:tc>
          <w:tcPr>
            <w:tcW w:w="3145" w:type="dxa"/>
            <w:vAlign w:val="center"/>
          </w:tcPr>
          <w:p w14:paraId="428F7A98">
            <w:pPr>
              <w:spacing w:line="360" w:lineRule="auto"/>
              <w:jc w:val="left"/>
              <w:rPr>
                <w:rFonts w:asciiTheme="minorEastAsia" w:eastAsiaTheme="minorEastAsia" w:hAnsiTheme="minorEastAsia"/>
              </w:rPr>
            </w:pPr>
            <w:r>
              <w:t>29.09.01,33.02.01,33.02.02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王邦权</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2024-N1OHSMS-1495970</w:t>
            </w:r>
          </w:p>
        </w:tc>
        <w:tc>
          <w:tcPr>
            <w:tcW w:w="3145" w:type="dxa"/>
            <w:vAlign w:val="center"/>
          </w:tcPr>
          <w:p w14:paraId="591646C4">
            <w:pPr>
              <w:spacing w:line="360" w:lineRule="auto"/>
              <w:jc w:val="left"/>
              <w:rPr>
                <w:rFonts w:asciiTheme="minorEastAsia" w:eastAsiaTheme="minorEastAsia" w:hAnsiTheme="minorEastAsia"/>
              </w:rPr>
            </w:pPr>
            <w:r>
              <w:t>29.09.01,33.02.01,33.02.02,34.05.00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李毅宏</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14230319971019361X</w:t>
            </w:r>
          </w:p>
        </w:tc>
        <w:tc>
          <w:tcPr>
            <w:tcW w:w="3145" w:type="dxa"/>
            <w:vAlign w:val="center"/>
          </w:tcPr>
          <w:p>
            <w:pPr>
              <w:jc w:val="left"/>
            </w:pPr>
            <w:r>
              <w:t>19.02.00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李毅宏</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14230319971019361X</w:t>
            </w:r>
          </w:p>
        </w:tc>
        <w:tc>
          <w:tcPr>
            <w:tcW w:w="3145" w:type="dxa"/>
            <w:vAlign w:val="center"/>
          </w:tcPr>
          <w:p>
            <w:pPr>
              <w:jc w:val="left"/>
            </w:pPr>
            <w:r>
              <w:t>19.02.00,34.05.00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李毅宏</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14230319971019361X</w:t>
            </w:r>
          </w:p>
        </w:tc>
        <w:tc>
          <w:tcPr>
            <w:tcW w:w="3145" w:type="dxa"/>
            <w:vAlign w:val="center"/>
          </w:tcPr>
          <w:p>
            <w:pPr>
              <w:jc w:val="left"/>
            </w:pPr>
            <w:r>
              <w:t>19.02.00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2025年09月12日上午至2025年09月12日下午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2025年09月12日上午至2025年09月12日下午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王邦权、李毅宏</w:t>
      </w:r>
      <w:r>
        <w:rPr>
          <w:rFonts w:hint="eastAsia"/>
          <w:b/>
          <w:color w:val="auto"/>
          <w:kern w:val="2"/>
          <w:sz w:val="21"/>
          <w:lang w:val="en-GB"/>
        </w:rPr>
        <w:t xml:space="preserve"> </w:t>
      </w:r>
      <w:r>
        <w:rPr>
          <w:rFonts w:hint="eastAsia"/>
          <w:b/>
          <w:color w:val="auto"/>
          <w:kern w:val="2"/>
          <w:sz w:val="21"/>
          <w:lang w:val="en-GB"/>
        </w:rPr>
        <w:t>李毅宏</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95380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