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35"/>
        <w:gridCol w:w="58"/>
        <w:gridCol w:w="1553"/>
        <w:gridCol w:w="6"/>
        <w:gridCol w:w="567"/>
        <w:gridCol w:w="1242"/>
        <w:gridCol w:w="176"/>
        <w:gridCol w:w="29"/>
        <w:gridCol w:w="560"/>
        <w:gridCol w:w="261"/>
        <w:gridCol w:w="50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成都星科圣世低温科技有限公司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四川省成都市高新区西区大道531号生产研发大楼二楼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028-87662982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35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0403-2019-QEO</w:t>
            </w:r>
            <w:bookmarkEnd w:id="8"/>
          </w:p>
        </w:tc>
        <w:tc>
          <w:tcPr>
            <w:tcW w:w="161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Q：波纹管液位计（含组合阀、真空阀）的组装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E：波纹管液位计（含组合阀、真空阀）的组装及其相关环境管理活动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O：波纹管液位计（含组合阀、真空阀）的组装及其相关职业健康安全管理活动</w:t>
            </w:r>
            <w:bookmarkEnd w:id="13"/>
          </w:p>
        </w:tc>
        <w:tc>
          <w:tcPr>
            <w:tcW w:w="8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2019年09月14日 上午至2019年09月15日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3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3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63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2019年9月13日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</w:rPr>
              <w:t>2019年9月13日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/权限；6.2质量目标及其实现的策划；7.1.2人员7.1.4过程运行环境7.2能力；7.3意识；7.4沟通7.5文件化信息；</w:t>
            </w:r>
            <w:r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9月15日</w:t>
            </w: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5.3岗位/职责 /权限；6.2质量目标及其实现的策划；7.1.3基础设施；  7.1.4过程运行环境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8.5.2标识和可追溯性；8.5.3顾客或外部供方的财产；8.5.4防护；8.5.5交付后的活动；8.5.6更改控制；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8.1运行策划和控制； 8.3设计开发控制； 8.5.1生产和服务提供的控制； 8.6产品和服务放行；8.7不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合格输出的控制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7.1.5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监视和测量资源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 8.2产品和服务的要求；8.4外部提供供方的控制； 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D33"/>
    <w:rsid w:val="000403C7"/>
    <w:rsid w:val="00A50D33"/>
    <w:rsid w:val="00AB10BA"/>
    <w:rsid w:val="25256EC9"/>
    <w:rsid w:val="2AF237E7"/>
    <w:rsid w:val="30FC3A7A"/>
    <w:rsid w:val="364954B9"/>
    <w:rsid w:val="48222ED9"/>
    <w:rsid w:val="5A613558"/>
    <w:rsid w:val="7CB47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510</Words>
  <Characters>2911</Characters>
  <Lines>24</Lines>
  <Paragraphs>6</Paragraphs>
  <TotalTime>2</TotalTime>
  <ScaleCrop>false</ScaleCrop>
  <LinksUpToDate>false</LinksUpToDate>
  <CharactersWithSpaces>3415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2019-09-17T04:05:49Z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