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成都星科圣世低温科技有限公司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028-87662982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Q：波纹管液位计（含组合阀、真空阀）的组装</w:t>
            </w:r>
          </w:p>
          <w:p>
            <w:r>
              <w:t>E：波纹管液位计（含组合阀、真空阀）的组装及其相关环境管理活动</w:t>
            </w:r>
          </w:p>
          <w:p>
            <w:r>
              <w:t>O：波纹管液位计（含组合阀、真空阀）的组装及其相关职业健康安全管理活动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Q：19.05.01</w:t>
            </w:r>
          </w:p>
          <w:p>
            <w:r>
              <w:t>E：19.05.01</w:t>
            </w:r>
          </w:p>
          <w:p>
            <w:r>
              <w:t>O：19.05.01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2019年09月12日 上午至2019年09月12日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0" w:type="dxa"/>
            <w:gridSpan w:val="4"/>
            <w:vAlign w:val="center"/>
          </w:tcPr>
          <w:p/>
        </w:tc>
        <w:tc>
          <w:tcPr>
            <w:tcW w:w="13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4" w:hRule="atLeast"/>
        </w:trPr>
        <w:tc>
          <w:tcPr>
            <w:tcW w:w="11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：00-16：30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1.确定管理层二阶段审核的重点。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2.确认体系策划部门是否按要求建立、实施、保持并持续改进了体系。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4.适用法律法规、技术标准识别的充分性，收集合规性的证据。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72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2019-09-09T07:08:57Z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