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B1AF2">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21349-2025-QEO</w:t>
      </w:r>
    </w:p>
    <w:p w14:paraId="29AC25BC">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12305F03">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32962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4B72291B">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2BA0257A">
            <w:pPr>
              <w:snapToGrid w:val="0"/>
              <w:spacing w:line="360" w:lineRule="auto"/>
              <w:jc w:val="left"/>
              <w:rPr>
                <w:rFonts w:asciiTheme="minorEastAsia" w:hAnsiTheme="minorEastAsia" w:eastAsiaTheme="minorEastAsia"/>
                <w:bCs/>
                <w:color w:val="000000" w:themeColor="text1"/>
                <w:sz w:val="21"/>
                <w:szCs w:val="21"/>
              </w:rPr>
            </w:pPr>
            <w:bookmarkStart w:id="1" w:name="组织名称"/>
            <w:bookmarkEnd w:id="1"/>
            <w:r>
              <w:rPr>
                <w:rFonts w:hint="eastAsia" w:asciiTheme="minorEastAsia" w:hAnsiTheme="minorEastAsia" w:eastAsiaTheme="minorEastAsia"/>
                <w:bCs/>
                <w:color w:val="000000" w:themeColor="text1"/>
                <w:sz w:val="21"/>
                <w:szCs w:val="21"/>
              </w:rPr>
              <w:t>石家庄奥明电力设备有限公司</w:t>
            </w:r>
          </w:p>
        </w:tc>
        <w:tc>
          <w:tcPr>
            <w:tcW w:w="1276" w:type="dxa"/>
            <w:gridSpan w:val="2"/>
            <w:vAlign w:val="center"/>
          </w:tcPr>
          <w:p w14:paraId="1ED899B0">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749656CE">
            <w:pPr>
              <w:snapToGrid w:val="0"/>
              <w:spacing w:line="360" w:lineRule="auto"/>
              <w:jc w:val="center"/>
              <w:rPr>
                <w:rFonts w:asciiTheme="minorEastAsia" w:hAnsiTheme="minorEastAsia" w:eastAsiaTheme="minorEastAsia"/>
                <w:bCs/>
                <w:color w:val="000000" w:themeColor="text1"/>
                <w:sz w:val="21"/>
                <w:szCs w:val="21"/>
              </w:rPr>
            </w:pPr>
            <w:bookmarkStart w:id="2" w:name="总组长"/>
            <w:bookmarkEnd w:id="2"/>
            <w:r>
              <w:rPr>
                <w:rFonts w:hint="eastAsia" w:asciiTheme="minorEastAsia" w:hAnsiTheme="minorEastAsia" w:eastAsiaTheme="minorEastAsia"/>
                <w:bCs/>
                <w:color w:val="000000" w:themeColor="text1"/>
                <w:sz w:val="21"/>
                <w:szCs w:val="21"/>
              </w:rPr>
              <w:t>李丽英</w:t>
            </w:r>
          </w:p>
        </w:tc>
      </w:tr>
      <w:tr w14:paraId="5285B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0C40CD46">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统一信用代码</w:t>
            </w:r>
          </w:p>
        </w:tc>
        <w:tc>
          <w:tcPr>
            <w:tcW w:w="4486" w:type="dxa"/>
            <w:gridSpan w:val="5"/>
            <w:vAlign w:val="center"/>
          </w:tcPr>
          <w:p w14:paraId="74007B90">
            <w:pPr>
              <w:snapToGrid w:val="0"/>
              <w:spacing w:line="36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91130182MA08JB2K4J</w:t>
            </w:r>
          </w:p>
        </w:tc>
        <w:tc>
          <w:tcPr>
            <w:tcW w:w="1276" w:type="dxa"/>
            <w:gridSpan w:val="2"/>
            <w:vAlign w:val="center"/>
          </w:tcPr>
          <w:p w14:paraId="2B2518AC">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327D7DF2">
            <w:pPr>
              <w:snapToGrid w:val="0"/>
              <w:spacing w:line="360" w:lineRule="auto"/>
              <w:rPr>
                <w:rFonts w:asciiTheme="minorEastAsia" w:hAnsiTheme="minorEastAsia" w:eastAsiaTheme="minorEastAsia"/>
                <w:bCs/>
                <w:sz w:val="21"/>
                <w:szCs w:val="21"/>
              </w:rPr>
            </w:pPr>
            <w:r>
              <w:rPr>
                <w:rFonts w:hint="eastAsia" w:asciiTheme="minorEastAsia" w:hAnsiTheme="minorEastAsia" w:eastAsiaTheme="minorEastAsia"/>
                <w:bCs/>
                <w:sz w:val="21"/>
                <w:szCs w:val="21"/>
              </w:rPr>
              <w:t>E:认可,Q:认可,O:认可</w:t>
            </w:r>
          </w:p>
        </w:tc>
      </w:tr>
      <w:tr w14:paraId="264B1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338C1745">
            <w:pPr>
              <w:snapToGrid w:val="0"/>
              <w:spacing w:line="276" w:lineRule="auto"/>
              <w:jc w:val="center"/>
              <w:rPr>
                <w:bCs/>
                <w:sz w:val="21"/>
                <w:szCs w:val="21"/>
              </w:rPr>
            </w:pPr>
            <w:r>
              <w:rPr>
                <w:rFonts w:hint="eastAsia"/>
                <w:bCs/>
                <w:sz w:val="21"/>
                <w:szCs w:val="21"/>
              </w:rPr>
              <w:t>认证标准</w:t>
            </w:r>
          </w:p>
        </w:tc>
        <w:tc>
          <w:tcPr>
            <w:tcW w:w="8386" w:type="dxa"/>
            <w:gridSpan w:val="9"/>
          </w:tcPr>
          <w:p w14:paraId="050BFE4A">
            <w:pPr>
              <w:pStyle w:val="2"/>
              <w:spacing w:line="276" w:lineRule="auto"/>
              <w:ind w:firstLine="0"/>
              <w:rPr>
                <w:bCs/>
                <w:sz w:val="21"/>
                <w:szCs w:val="21"/>
              </w:rPr>
            </w:pPr>
            <w:r>
              <w:rPr>
                <w:rFonts w:hint="eastAsia"/>
                <w:bCs/>
                <w:sz w:val="21"/>
                <w:szCs w:val="21"/>
              </w:rPr>
              <w:t>GB/T 24001-2016/ISO14001:2015、GB/T19001-2016/ISO9001:2015、GB/T45001-2020 / ISO45001：2018</w:t>
            </w:r>
          </w:p>
        </w:tc>
      </w:tr>
      <w:tr w14:paraId="37E1B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7D932CC1">
            <w:pPr>
              <w:snapToGrid w:val="0"/>
              <w:spacing w:line="276" w:lineRule="auto"/>
              <w:jc w:val="center"/>
              <w:rPr>
                <w:bCs/>
                <w:sz w:val="21"/>
                <w:szCs w:val="21"/>
              </w:rPr>
            </w:pPr>
            <w:r>
              <w:rPr>
                <w:rFonts w:hint="eastAsia"/>
                <w:bCs/>
                <w:sz w:val="21"/>
                <w:szCs w:val="21"/>
              </w:rPr>
              <w:t>审核类型</w:t>
            </w:r>
          </w:p>
        </w:tc>
        <w:tc>
          <w:tcPr>
            <w:tcW w:w="8386" w:type="dxa"/>
            <w:gridSpan w:val="9"/>
          </w:tcPr>
          <w:p w14:paraId="210EBA05">
            <w:pPr>
              <w:pStyle w:val="2"/>
              <w:spacing w:line="276" w:lineRule="auto"/>
              <w:ind w:firstLine="0"/>
              <w:rPr>
                <w:bCs/>
                <w:sz w:val="21"/>
                <w:szCs w:val="21"/>
              </w:rPr>
            </w:pPr>
            <w:r>
              <w:rPr>
                <w:rFonts w:hint="eastAsia"/>
                <w:bCs/>
                <w:color w:val="000000" w:themeColor="text1"/>
                <w:spacing w:val="-2"/>
                <w:sz w:val="21"/>
                <w:szCs w:val="21"/>
              </w:rPr>
              <w:t xml:space="preserve">■初审        □再认证  </w:t>
            </w:r>
          </w:p>
          <w:p w14:paraId="3F6EA7DA">
            <w:pPr>
              <w:pStyle w:val="2"/>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14:paraId="5B70A92F">
            <w:pPr>
              <w:pStyle w:val="2"/>
              <w:spacing w:line="276" w:lineRule="auto"/>
              <w:ind w:firstLine="0"/>
              <w:rPr>
                <w:rFonts w:hint="eastAsia"/>
                <w:bCs/>
                <w:color w:val="000000" w:themeColor="text1"/>
                <w:spacing w:val="-2"/>
                <w:sz w:val="21"/>
                <w:szCs w:val="21"/>
              </w:rPr>
            </w:pPr>
          </w:p>
        </w:tc>
      </w:tr>
      <w:tr w14:paraId="488B4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733D508F">
            <w:pPr>
              <w:snapToGrid w:val="0"/>
              <w:spacing w:line="276" w:lineRule="auto"/>
              <w:jc w:val="center"/>
              <w:rPr>
                <w:bCs/>
                <w:sz w:val="21"/>
                <w:szCs w:val="21"/>
              </w:rPr>
            </w:pPr>
            <w:r>
              <w:rPr>
                <w:rFonts w:hint="eastAsia"/>
                <w:bCs/>
                <w:sz w:val="21"/>
                <w:szCs w:val="21"/>
              </w:rPr>
              <w:t>变更内容</w:t>
            </w:r>
          </w:p>
        </w:tc>
        <w:tc>
          <w:tcPr>
            <w:tcW w:w="8386" w:type="dxa"/>
            <w:gridSpan w:val="9"/>
          </w:tcPr>
          <w:p w14:paraId="24DADED8">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50A36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0EA8E195">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368B8455">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6D010439">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7D49B733">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7CD633D1">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79072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55D6D62C">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0BACC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0CF61782">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6A87E681">
            <w:pPr>
              <w:snapToGrid w:val="0"/>
              <w:spacing w:line="0" w:lineRule="atLeast"/>
              <w:jc w:val="left"/>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color w:val="000000" w:themeColor="text1"/>
                <w:sz w:val="21"/>
                <w:szCs w:val="21"/>
              </w:rPr>
              <w:t>石家庄奥明电力设备有限公司</w:t>
            </w:r>
          </w:p>
          <w:p w14:paraId="06CCF8CB">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6B5F9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177227B7">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239556BF">
            <w:pPr>
              <w:snapToGrid w:val="0"/>
              <w:spacing w:line="0" w:lineRule="atLeast"/>
              <w:jc w:val="left"/>
              <w:rPr>
                <w:sz w:val="21"/>
                <w:szCs w:val="21"/>
              </w:rPr>
            </w:pPr>
            <w:r>
              <w:rPr>
                <w:rFonts w:hint="eastAsia"/>
                <w:sz w:val="21"/>
                <w:szCs w:val="21"/>
              </w:rPr>
              <w:t>河北省石家庄市藁城区常安镇北周卦村村北200米路东</w:t>
            </w:r>
          </w:p>
          <w:p w14:paraId="33D77604">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21E1B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1B8E718E">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4BBBD749">
            <w:pPr>
              <w:snapToGrid w:val="0"/>
              <w:spacing w:line="0" w:lineRule="atLeast"/>
              <w:jc w:val="left"/>
              <w:rPr>
                <w:sz w:val="21"/>
                <w:szCs w:val="21"/>
              </w:rPr>
            </w:pPr>
            <w:r>
              <w:rPr>
                <w:rFonts w:hint="eastAsia"/>
                <w:sz w:val="21"/>
                <w:szCs w:val="21"/>
              </w:rPr>
              <w:t>河北省石家庄市藁城区常安镇北周卦村村北200米路东</w:t>
            </w:r>
          </w:p>
          <w:p w14:paraId="7B270088">
            <w:pPr>
              <w:snapToGrid w:val="0"/>
              <w:spacing w:line="0" w:lineRule="atLeast"/>
              <w:jc w:val="left"/>
              <w:rPr>
                <w:sz w:val="21"/>
                <w:szCs w:val="21"/>
              </w:rPr>
            </w:pPr>
          </w:p>
          <w:p w14:paraId="308042B4">
            <w:pPr>
              <w:snapToGrid w:val="0"/>
              <w:spacing w:line="0" w:lineRule="atLeast"/>
              <w:jc w:val="left"/>
              <w:rPr>
                <w:bCs/>
                <w:sz w:val="21"/>
                <w:szCs w:val="21"/>
              </w:rPr>
            </w:pPr>
            <w:r>
              <w:rPr>
                <w:rFonts w:hint="eastAsia" w:cs="Arial"/>
                <w:bCs/>
                <w:sz w:val="21"/>
                <w:szCs w:val="21"/>
              </w:rPr>
              <w:t>Production and operation address：</w:t>
            </w:r>
          </w:p>
        </w:tc>
      </w:tr>
      <w:tr w14:paraId="05A9E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557BABD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353BDB88">
            <w:pPr>
              <w:snapToGrid w:val="0"/>
              <w:spacing w:line="0" w:lineRule="atLeast"/>
              <w:jc w:val="left"/>
              <w:rPr>
                <w:rFonts w:hint="eastAsia"/>
                <w:sz w:val="21"/>
                <w:szCs w:val="21"/>
                <w:lang w:val="en-GB"/>
              </w:rPr>
            </w:pPr>
            <w:bookmarkStart w:id="3" w:name="审核范围"/>
            <w:bookmarkEnd w:id="3"/>
            <w:r>
              <w:rPr>
                <w:rFonts w:hint="eastAsia"/>
                <w:sz w:val="21"/>
                <w:szCs w:val="21"/>
                <w:lang w:val="en-GB"/>
              </w:rPr>
              <w:t>Q：油浸式变压器、箱式变电站、高低压电气成套设备的生产</w:t>
            </w:r>
          </w:p>
          <w:p w14:paraId="484585B6">
            <w:pPr>
              <w:snapToGrid w:val="0"/>
              <w:spacing w:line="0" w:lineRule="atLeast"/>
              <w:jc w:val="left"/>
              <w:rPr>
                <w:rFonts w:hint="eastAsia"/>
                <w:sz w:val="21"/>
                <w:szCs w:val="21"/>
                <w:lang w:val="en-GB"/>
              </w:rPr>
            </w:pPr>
            <w:r>
              <w:rPr>
                <w:rFonts w:hint="eastAsia"/>
                <w:sz w:val="21"/>
                <w:szCs w:val="21"/>
                <w:lang w:val="en-GB"/>
              </w:rPr>
              <w:t>E：油浸式变压器、箱式变电站、高低压电气成套设备的生产所涉及场所的相关环境管理活动</w:t>
            </w:r>
          </w:p>
          <w:p w14:paraId="61330ADF">
            <w:pPr>
              <w:snapToGrid w:val="0"/>
              <w:spacing w:line="0" w:lineRule="atLeast"/>
              <w:jc w:val="left"/>
              <w:rPr>
                <w:rFonts w:hint="eastAsia"/>
                <w:sz w:val="21"/>
                <w:szCs w:val="21"/>
                <w:lang w:val="en-GB"/>
              </w:rPr>
            </w:pPr>
            <w:r>
              <w:rPr>
                <w:rFonts w:hint="eastAsia"/>
                <w:sz w:val="21"/>
                <w:szCs w:val="21"/>
                <w:lang w:val="en-GB"/>
              </w:rPr>
              <w:t>O：油浸式变压器、箱式变电站、高低压电气成套设备的生产所涉及场所的相关职业健康安全管理活动</w:t>
            </w:r>
          </w:p>
          <w:p w14:paraId="492397DE">
            <w:pPr>
              <w:snapToGrid w:val="0"/>
              <w:spacing w:line="0" w:lineRule="atLeast"/>
              <w:jc w:val="left"/>
              <w:rPr>
                <w:sz w:val="21"/>
                <w:szCs w:val="21"/>
                <w:lang w:val="en-GB"/>
              </w:rPr>
            </w:pPr>
            <w:r>
              <w:rPr>
                <w:rFonts w:hint="eastAsia"/>
                <w:bCs/>
                <w:sz w:val="21"/>
                <w:szCs w:val="21"/>
                <w:lang w:val="en-GB"/>
              </w:rPr>
              <w:t>English Scope：</w:t>
            </w:r>
          </w:p>
        </w:tc>
      </w:tr>
      <w:tr w14:paraId="02741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16B05EF3">
            <w:pPr>
              <w:snapToGrid w:val="0"/>
              <w:spacing w:line="0" w:lineRule="atLeast"/>
              <w:rPr>
                <w:bCs/>
                <w:sz w:val="21"/>
                <w:szCs w:val="21"/>
              </w:rPr>
            </w:pPr>
            <w:r>
              <w:rPr>
                <w:rFonts w:hint="eastAsia"/>
                <w:bCs/>
                <w:sz w:val="21"/>
                <w:szCs w:val="21"/>
              </w:rPr>
              <w:t>(注：如需英文版证书，请翻译好填写在在对应项目下方）</w:t>
            </w:r>
          </w:p>
        </w:tc>
      </w:tr>
      <w:tr w14:paraId="78955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4B2A39FC">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6F8DF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2568CD25">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6FCDEA46">
            <w:pPr>
              <w:snapToGrid w:val="0"/>
              <w:spacing w:line="0" w:lineRule="atLeast"/>
              <w:jc w:val="left"/>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color w:val="000000" w:themeColor="text1"/>
                <w:sz w:val="21"/>
                <w:szCs w:val="21"/>
              </w:rPr>
              <w:t>石家庄奥明电力设备有限公司</w:t>
            </w:r>
          </w:p>
          <w:p w14:paraId="11A14326">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36D6D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166561D1">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52ABF076">
            <w:pPr>
              <w:snapToGrid w:val="0"/>
              <w:spacing w:line="0" w:lineRule="atLeast"/>
              <w:jc w:val="left"/>
              <w:rPr>
                <w:sz w:val="21"/>
                <w:szCs w:val="21"/>
              </w:rPr>
            </w:pPr>
            <w:r>
              <w:rPr>
                <w:rFonts w:hint="eastAsia"/>
                <w:sz w:val="21"/>
                <w:szCs w:val="21"/>
              </w:rPr>
              <w:t>河北省石家庄市藁城区常安镇北周卦村村北200米路东</w:t>
            </w:r>
          </w:p>
          <w:p w14:paraId="468A7B23">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4D657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083E8AE">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66B854BA">
            <w:pPr>
              <w:snapToGrid w:val="0"/>
              <w:spacing w:line="0" w:lineRule="atLeast"/>
              <w:jc w:val="left"/>
              <w:rPr>
                <w:sz w:val="21"/>
                <w:szCs w:val="21"/>
              </w:rPr>
            </w:pPr>
            <w:r>
              <w:rPr>
                <w:rFonts w:hint="eastAsia"/>
                <w:sz w:val="21"/>
                <w:szCs w:val="21"/>
              </w:rPr>
              <w:t>河北省石家庄市藁城区常安镇北周卦村村北200米路东</w:t>
            </w:r>
          </w:p>
          <w:p w14:paraId="076392CC">
            <w:pPr>
              <w:snapToGrid w:val="0"/>
              <w:spacing w:line="0" w:lineRule="atLeast"/>
              <w:jc w:val="left"/>
              <w:rPr>
                <w:sz w:val="21"/>
                <w:szCs w:val="21"/>
              </w:rPr>
            </w:pPr>
          </w:p>
          <w:p w14:paraId="03A7CE2E">
            <w:pPr>
              <w:snapToGrid w:val="0"/>
              <w:spacing w:line="0" w:lineRule="atLeast"/>
              <w:jc w:val="left"/>
              <w:rPr>
                <w:bCs/>
                <w:sz w:val="21"/>
                <w:szCs w:val="21"/>
              </w:rPr>
            </w:pPr>
            <w:r>
              <w:rPr>
                <w:rFonts w:hint="eastAsia" w:cs="Arial"/>
                <w:bCs/>
                <w:sz w:val="21"/>
                <w:szCs w:val="21"/>
              </w:rPr>
              <w:t>Production and operation address：</w:t>
            </w:r>
          </w:p>
        </w:tc>
      </w:tr>
      <w:tr w14:paraId="75A39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02101D4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A4E9BAA">
            <w:pPr>
              <w:snapToGrid w:val="0"/>
              <w:spacing w:line="0" w:lineRule="atLeast"/>
              <w:jc w:val="left"/>
              <w:rPr>
                <w:rFonts w:hint="eastAsia"/>
                <w:sz w:val="21"/>
                <w:szCs w:val="21"/>
                <w:lang w:val="en-GB"/>
              </w:rPr>
            </w:pPr>
            <w:bookmarkStart w:id="4" w:name="审核范围Add1"/>
            <w:bookmarkEnd w:id="4"/>
            <w:r>
              <w:rPr>
                <w:rFonts w:hint="eastAsia"/>
                <w:sz w:val="21"/>
                <w:szCs w:val="21"/>
                <w:lang w:val="en-GB"/>
              </w:rPr>
              <w:t>Q：油浸式变压器、箱式变电站、高低压电气成套设备的生产</w:t>
            </w:r>
          </w:p>
          <w:p w14:paraId="5A1368DD">
            <w:pPr>
              <w:snapToGrid w:val="0"/>
              <w:spacing w:line="0" w:lineRule="atLeast"/>
              <w:jc w:val="left"/>
              <w:rPr>
                <w:rFonts w:hint="eastAsia"/>
                <w:sz w:val="21"/>
                <w:szCs w:val="21"/>
                <w:lang w:val="en-GB"/>
              </w:rPr>
            </w:pPr>
            <w:r>
              <w:rPr>
                <w:rFonts w:hint="eastAsia"/>
                <w:sz w:val="21"/>
                <w:szCs w:val="21"/>
                <w:lang w:val="en-GB"/>
              </w:rPr>
              <w:t>E：油浸式变压器、箱式变电站、高低压电气成套设备的生产所涉及场所的相关环境管理活动</w:t>
            </w:r>
          </w:p>
          <w:p w14:paraId="790B297E">
            <w:pPr>
              <w:snapToGrid w:val="0"/>
              <w:spacing w:line="0" w:lineRule="atLeast"/>
              <w:jc w:val="left"/>
              <w:rPr>
                <w:rFonts w:hint="eastAsia"/>
                <w:sz w:val="21"/>
                <w:szCs w:val="21"/>
                <w:lang w:val="en-GB"/>
              </w:rPr>
            </w:pPr>
            <w:r>
              <w:rPr>
                <w:rFonts w:hint="eastAsia"/>
                <w:sz w:val="21"/>
                <w:szCs w:val="21"/>
                <w:lang w:val="en-GB"/>
              </w:rPr>
              <w:t>O：油浸式变压器、箱式变电站、高低压电气成套设备的生产所涉及场所的相关职业健康安全管理活动</w:t>
            </w:r>
            <w:bookmarkStart w:id="5" w:name="_GoBack"/>
            <w:bookmarkEnd w:id="5"/>
          </w:p>
          <w:p w14:paraId="2427251F">
            <w:pPr>
              <w:snapToGrid w:val="0"/>
              <w:spacing w:line="0" w:lineRule="atLeast"/>
              <w:jc w:val="left"/>
              <w:rPr>
                <w:sz w:val="21"/>
                <w:szCs w:val="21"/>
                <w:lang w:val="en-GB"/>
              </w:rPr>
            </w:pPr>
            <w:r>
              <w:rPr>
                <w:rFonts w:hint="eastAsia"/>
                <w:bCs/>
                <w:sz w:val="21"/>
                <w:szCs w:val="21"/>
                <w:lang w:val="en-GB"/>
              </w:rPr>
              <w:t>English Scope：</w:t>
            </w:r>
          </w:p>
        </w:tc>
      </w:tr>
      <w:tr w14:paraId="1B24C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2094E02A">
            <w:pPr>
              <w:snapToGrid w:val="0"/>
              <w:spacing w:line="0" w:lineRule="atLeast"/>
              <w:rPr>
                <w:bCs/>
                <w:sz w:val="21"/>
                <w:szCs w:val="21"/>
              </w:rPr>
            </w:pPr>
            <w:r>
              <w:rPr>
                <w:rFonts w:hint="eastAsia"/>
                <w:bCs/>
                <w:sz w:val="21"/>
                <w:szCs w:val="21"/>
              </w:rPr>
              <w:t>(注：如需英文版证书，请翻译好填写在在对应项目下方）</w:t>
            </w:r>
          </w:p>
        </w:tc>
      </w:tr>
      <w:tr w14:paraId="79155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531744BF">
            <w:pPr>
              <w:snapToGrid w:val="0"/>
              <w:spacing w:line="0" w:lineRule="atLeast"/>
              <w:jc w:val="left"/>
              <w:rPr>
                <w:bCs/>
                <w:sz w:val="21"/>
                <w:szCs w:val="21"/>
              </w:rPr>
            </w:pPr>
            <w:r>
              <w:rPr>
                <w:rFonts w:hint="eastAsia"/>
                <w:bCs/>
                <w:sz w:val="21"/>
                <w:szCs w:val="21"/>
              </w:rPr>
              <w:t>证书规格：A4</w:t>
            </w:r>
          </w:p>
        </w:tc>
        <w:tc>
          <w:tcPr>
            <w:tcW w:w="8294" w:type="dxa"/>
            <w:gridSpan w:val="8"/>
          </w:tcPr>
          <w:p w14:paraId="371D84F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670B1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4AB7BB38">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220C7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0E566B6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7B08DBC1">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7D548C72">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22AD03B9">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5458DC48">
            <w:pPr>
              <w:snapToGrid w:val="0"/>
              <w:spacing w:line="0" w:lineRule="atLeast"/>
              <w:jc w:val="center"/>
              <w:rPr>
                <w:bCs/>
                <w:sz w:val="21"/>
                <w:szCs w:val="21"/>
                <w:lang w:val="en-GB"/>
              </w:rPr>
            </w:pPr>
            <w:r>
              <w:rPr>
                <w:rFonts w:hint="eastAsia"/>
                <w:bCs/>
                <w:sz w:val="21"/>
                <w:szCs w:val="21"/>
                <w:lang w:val="en-GB"/>
              </w:rPr>
              <w:t>产值（万元）</w:t>
            </w:r>
          </w:p>
        </w:tc>
      </w:tr>
      <w:tr w14:paraId="05DE8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256A36F4">
            <w:pPr>
              <w:snapToGrid w:val="0"/>
              <w:spacing w:line="0" w:lineRule="atLeast"/>
              <w:jc w:val="left"/>
              <w:rPr>
                <w:bCs/>
                <w:sz w:val="21"/>
                <w:szCs w:val="21"/>
                <w:lang w:val="en-GB"/>
              </w:rPr>
            </w:pPr>
          </w:p>
        </w:tc>
        <w:tc>
          <w:tcPr>
            <w:tcW w:w="2835" w:type="dxa"/>
            <w:gridSpan w:val="2"/>
          </w:tcPr>
          <w:p w14:paraId="26B5654D">
            <w:pPr>
              <w:snapToGrid w:val="0"/>
              <w:spacing w:line="0" w:lineRule="atLeast"/>
              <w:jc w:val="left"/>
              <w:rPr>
                <w:bCs/>
                <w:sz w:val="21"/>
                <w:szCs w:val="21"/>
                <w:lang w:val="en-GB"/>
              </w:rPr>
            </w:pPr>
          </w:p>
        </w:tc>
        <w:tc>
          <w:tcPr>
            <w:tcW w:w="1985" w:type="dxa"/>
            <w:gridSpan w:val="2"/>
          </w:tcPr>
          <w:p w14:paraId="00F2EB88">
            <w:pPr>
              <w:snapToGrid w:val="0"/>
              <w:spacing w:line="0" w:lineRule="atLeast"/>
              <w:jc w:val="left"/>
              <w:rPr>
                <w:bCs/>
                <w:sz w:val="21"/>
                <w:szCs w:val="21"/>
                <w:lang w:val="en-GB"/>
              </w:rPr>
            </w:pPr>
          </w:p>
        </w:tc>
        <w:tc>
          <w:tcPr>
            <w:tcW w:w="1276" w:type="dxa"/>
            <w:gridSpan w:val="2"/>
          </w:tcPr>
          <w:p w14:paraId="376A5B2D">
            <w:pPr>
              <w:snapToGrid w:val="0"/>
              <w:spacing w:line="0" w:lineRule="atLeast"/>
              <w:jc w:val="left"/>
              <w:rPr>
                <w:bCs/>
                <w:sz w:val="21"/>
                <w:szCs w:val="21"/>
                <w:lang w:val="en-GB"/>
              </w:rPr>
            </w:pPr>
          </w:p>
        </w:tc>
        <w:tc>
          <w:tcPr>
            <w:tcW w:w="1490" w:type="dxa"/>
          </w:tcPr>
          <w:p w14:paraId="40350E4C">
            <w:pPr>
              <w:snapToGrid w:val="0"/>
              <w:spacing w:line="0" w:lineRule="atLeast"/>
              <w:jc w:val="left"/>
              <w:rPr>
                <w:bCs/>
                <w:sz w:val="21"/>
                <w:szCs w:val="21"/>
                <w:lang w:val="en-GB"/>
              </w:rPr>
            </w:pPr>
          </w:p>
        </w:tc>
      </w:tr>
      <w:tr w14:paraId="083FE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7F452B54">
            <w:pPr>
              <w:snapToGrid w:val="0"/>
              <w:spacing w:line="0" w:lineRule="atLeast"/>
              <w:jc w:val="left"/>
              <w:rPr>
                <w:bCs/>
                <w:sz w:val="21"/>
                <w:szCs w:val="21"/>
                <w:lang w:val="en-GB"/>
              </w:rPr>
            </w:pPr>
          </w:p>
        </w:tc>
        <w:tc>
          <w:tcPr>
            <w:tcW w:w="2835" w:type="dxa"/>
            <w:gridSpan w:val="2"/>
          </w:tcPr>
          <w:p w14:paraId="696812B5">
            <w:pPr>
              <w:snapToGrid w:val="0"/>
              <w:spacing w:line="0" w:lineRule="atLeast"/>
              <w:jc w:val="left"/>
              <w:rPr>
                <w:bCs/>
                <w:sz w:val="21"/>
                <w:szCs w:val="21"/>
                <w:lang w:val="en-GB"/>
              </w:rPr>
            </w:pPr>
          </w:p>
        </w:tc>
        <w:tc>
          <w:tcPr>
            <w:tcW w:w="1985" w:type="dxa"/>
            <w:gridSpan w:val="2"/>
          </w:tcPr>
          <w:p w14:paraId="28165B19">
            <w:pPr>
              <w:snapToGrid w:val="0"/>
              <w:spacing w:line="0" w:lineRule="atLeast"/>
              <w:jc w:val="left"/>
              <w:rPr>
                <w:bCs/>
                <w:sz w:val="21"/>
                <w:szCs w:val="21"/>
                <w:lang w:val="en-GB"/>
              </w:rPr>
            </w:pPr>
          </w:p>
        </w:tc>
        <w:tc>
          <w:tcPr>
            <w:tcW w:w="1276" w:type="dxa"/>
            <w:gridSpan w:val="2"/>
          </w:tcPr>
          <w:p w14:paraId="11258DDA">
            <w:pPr>
              <w:snapToGrid w:val="0"/>
              <w:spacing w:line="0" w:lineRule="atLeast"/>
              <w:jc w:val="left"/>
              <w:rPr>
                <w:bCs/>
                <w:sz w:val="21"/>
                <w:szCs w:val="21"/>
                <w:lang w:val="en-GB"/>
              </w:rPr>
            </w:pPr>
          </w:p>
        </w:tc>
        <w:tc>
          <w:tcPr>
            <w:tcW w:w="1490" w:type="dxa"/>
          </w:tcPr>
          <w:p w14:paraId="78609F12">
            <w:pPr>
              <w:snapToGrid w:val="0"/>
              <w:spacing w:line="0" w:lineRule="atLeast"/>
              <w:jc w:val="left"/>
              <w:rPr>
                <w:bCs/>
                <w:sz w:val="21"/>
                <w:szCs w:val="21"/>
                <w:lang w:val="en-GB"/>
              </w:rPr>
            </w:pPr>
          </w:p>
        </w:tc>
      </w:tr>
      <w:tr w14:paraId="33514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67B1CF74">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475CE75D">
            <w:pPr>
              <w:snapToGrid w:val="0"/>
              <w:spacing w:line="0" w:lineRule="atLeast"/>
              <w:ind w:firstLine="840" w:firstLineChars="400"/>
              <w:jc w:val="left"/>
              <w:rPr>
                <w:rFonts w:cs="Arial"/>
                <w:bCs/>
                <w:sz w:val="21"/>
                <w:szCs w:val="21"/>
              </w:rPr>
            </w:pPr>
          </w:p>
          <w:p w14:paraId="57D164AF">
            <w:pPr>
              <w:snapToGrid w:val="0"/>
              <w:spacing w:line="0" w:lineRule="atLeast"/>
              <w:ind w:firstLine="840" w:firstLineChars="400"/>
              <w:jc w:val="left"/>
              <w:rPr>
                <w:rFonts w:cs="Arial"/>
                <w:bCs/>
                <w:sz w:val="21"/>
                <w:szCs w:val="21"/>
              </w:rPr>
            </w:pPr>
          </w:p>
          <w:p w14:paraId="465C597F">
            <w:pPr>
              <w:snapToGrid w:val="0"/>
              <w:spacing w:line="0" w:lineRule="atLeast"/>
              <w:ind w:firstLine="840" w:firstLineChars="400"/>
              <w:jc w:val="left"/>
              <w:rPr>
                <w:rFonts w:cs="Arial"/>
                <w:bCs/>
                <w:sz w:val="21"/>
                <w:szCs w:val="21"/>
              </w:rPr>
            </w:pPr>
          </w:p>
          <w:p w14:paraId="68275596">
            <w:pPr>
              <w:snapToGrid w:val="0"/>
              <w:spacing w:line="0" w:lineRule="atLeast"/>
              <w:ind w:firstLine="840" w:firstLineChars="400"/>
              <w:jc w:val="left"/>
              <w:rPr>
                <w:bCs/>
                <w:sz w:val="21"/>
                <w:szCs w:val="21"/>
              </w:rPr>
            </w:pPr>
            <w:r>
              <w:rPr>
                <w:rFonts w:hint="eastAsia" w:cs="Arial"/>
                <w:bCs/>
                <w:sz w:val="21"/>
                <w:szCs w:val="21"/>
              </w:rPr>
              <w:t>日期：    年  月   日</w:t>
            </w:r>
          </w:p>
        </w:tc>
        <w:tc>
          <w:tcPr>
            <w:tcW w:w="1132" w:type="dxa"/>
            <w:gridSpan w:val="2"/>
            <w:vAlign w:val="center"/>
          </w:tcPr>
          <w:p w14:paraId="1128B3B0">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2D7B3D61">
            <w:pPr>
              <w:snapToGrid w:val="0"/>
              <w:spacing w:line="0" w:lineRule="atLeast"/>
              <w:ind w:firstLine="630" w:firstLineChars="300"/>
              <w:jc w:val="left"/>
              <w:rPr>
                <w:rFonts w:cs="Arial"/>
                <w:bCs/>
                <w:sz w:val="21"/>
                <w:szCs w:val="21"/>
              </w:rPr>
            </w:pPr>
          </w:p>
          <w:p w14:paraId="287E176C">
            <w:pPr>
              <w:snapToGrid w:val="0"/>
              <w:spacing w:line="0" w:lineRule="atLeast"/>
              <w:ind w:firstLine="630" w:firstLineChars="300"/>
              <w:jc w:val="left"/>
              <w:rPr>
                <w:rFonts w:cs="Arial"/>
                <w:bCs/>
                <w:sz w:val="21"/>
                <w:szCs w:val="21"/>
              </w:rPr>
            </w:pPr>
          </w:p>
          <w:p w14:paraId="224C1DB4">
            <w:pPr>
              <w:snapToGrid w:val="0"/>
              <w:spacing w:line="0" w:lineRule="atLeast"/>
              <w:ind w:firstLine="630" w:firstLineChars="300"/>
              <w:jc w:val="left"/>
              <w:rPr>
                <w:rFonts w:cs="Arial"/>
                <w:bCs/>
                <w:sz w:val="21"/>
                <w:szCs w:val="21"/>
              </w:rPr>
            </w:pPr>
          </w:p>
          <w:p w14:paraId="5DF28203">
            <w:pPr>
              <w:snapToGrid w:val="0"/>
              <w:spacing w:line="0" w:lineRule="atLeast"/>
              <w:ind w:firstLine="630" w:firstLineChars="300"/>
              <w:jc w:val="left"/>
              <w:rPr>
                <w:bCs/>
                <w:sz w:val="21"/>
                <w:szCs w:val="21"/>
              </w:rPr>
            </w:pPr>
            <w:r>
              <w:rPr>
                <w:rFonts w:hint="eastAsia" w:cs="Arial"/>
                <w:bCs/>
                <w:sz w:val="21"/>
                <w:szCs w:val="21"/>
              </w:rPr>
              <w:t>日期：     年   月   日</w:t>
            </w:r>
          </w:p>
        </w:tc>
      </w:tr>
    </w:tbl>
    <w:p w14:paraId="335D421C">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99936">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6695CFB0">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1DE3B77C"/>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3F8BF6D">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1D333E6"/>
    <w:rsid w:val="649D6039"/>
    <w:rsid w:val="64B147DE"/>
    <w:rsid w:val="6535464F"/>
    <w:rsid w:val="66911D47"/>
    <w:rsid w:val="67A92CEF"/>
    <w:rsid w:val="6AA1789F"/>
    <w:rsid w:val="7399717B"/>
    <w:rsid w:val="75C91AE1"/>
    <w:rsid w:val="7747388C"/>
    <w:rsid w:val="777F3BCA"/>
    <w:rsid w:val="79E60DF0"/>
    <w:rsid w:val="7D6037F4"/>
    <w:rsid w:val="7E245297"/>
    <w:rsid w:val="7F962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739</Words>
  <Characters>1009</Characters>
  <Lines>6</Lines>
  <Paragraphs>1</Paragraphs>
  <TotalTime>77</TotalTime>
  <ScaleCrop>false</ScaleCrop>
  <LinksUpToDate>false</LinksUpToDate>
  <CharactersWithSpaces>1069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2025-09-21T13:00:07Z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2052-12.1.0.22529</vt:lpwstr>
  </property>
  <property fmtid="{D5CDD505-2E9C-101B-9397-08002B2CF9AE}" pid="4" name="KSOTemplateDocerSaveRecord">
    <vt:lpwstr>eyJoZGlkIjoiMWU0YWZkZmQ4ZjAzNzkxYjdkNmM2YjJmZTFhMmMwOTEiLCJ1c2VySWQiOiIyMzU3MTczNDMifQ==</vt:lpwstr>
  </property>
</Properties>
</file>