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0402-2019-EO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重庆臻远电气有限公司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■ISO45001:2018■</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重庆臻远电气有限公司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重庆市九龙坡区科园四街52号石桥铺标准厂房K座4楼4-1</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重庆市北碚区悦复大道金科两江健康科技城E17工业用地8-2</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袁进</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023-62916301</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张秀宏</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袁进</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O：电力监测设备、仪器仪表的销售所涉及的职业健康安全管理活动</w:t>
            </w:r>
          </w:p>
          <w:p>
            <w:pPr>
              <w:spacing w:line="400" w:lineRule="exact"/>
              <w:rPr>
                <w:rFonts w:ascii="宋体" w:hAnsi="宋体"/>
                <w:b/>
                <w:color w:val="000000"/>
                <w:sz w:val="20"/>
                <w:szCs w:val="20"/>
              </w:rPr>
            </w:pPr>
            <w:r>
              <w:rPr>
                <w:rFonts w:ascii="宋体" w:hAnsi="宋体"/>
                <w:b/>
                <w:color w:val="000000"/>
                <w:sz w:val="20"/>
                <w:szCs w:val="20"/>
              </w:rPr>
              <w:t>E：电力监测设备、仪器仪表的销售涉及的环境管理活动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O：29.10.07</w:t>
            </w:r>
          </w:p>
          <w:p>
            <w:pPr>
              <w:spacing w:line="280" w:lineRule="exact"/>
              <w:rPr>
                <w:rFonts w:ascii="宋体"/>
                <w:b/>
                <w:color w:val="000000"/>
                <w:sz w:val="20"/>
                <w:szCs w:val="20"/>
              </w:rPr>
            </w:pPr>
            <w:r>
              <w:rPr>
                <w:rFonts w:ascii="宋体"/>
                <w:b/>
                <w:color w:val="000000"/>
                <w:sz w:val="20"/>
                <w:szCs w:val="20"/>
              </w:rPr>
              <w:t>E：29.10.07</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3" w:name="生产地址"/>
      <w:r>
        <w:t>重庆市北碚区悦复大道金科两江健康科技城E17工业用地8-2</w:t>
      </w:r>
      <w:bookmarkEnd w:id="23"/>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电力监测设备、仪器仪表的销售</w:t>
            </w:r>
          </w:p>
          <w:p>
            <w:pPr>
              <w:widowControl/>
              <w:jc w:val="left"/>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公司部门设置：行政部、</w:t>
            </w:r>
            <w:r>
              <w:rPr>
                <w:rFonts w:hint="eastAsia" w:ascii="宋体" w:hAnsi="宋体"/>
                <w:b/>
                <w:color w:val="000000"/>
                <w:sz w:val="20"/>
                <w:szCs w:val="20"/>
                <w:lang w:val="en-US" w:eastAsia="zh-CN"/>
              </w:rPr>
              <w:t>供销</w:t>
            </w:r>
            <w:r>
              <w:rPr>
                <w:rFonts w:hint="eastAsia" w:ascii="宋体" w:hAnsi="宋体"/>
                <w:b/>
                <w:color w:val="000000"/>
                <w:sz w:val="20"/>
                <w:szCs w:val="20"/>
              </w:rPr>
              <w:t>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重庆市北碚区悦复大道金科两江健康科技城E17工业用地8-2</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w:t>
            </w:r>
            <w:r>
              <w:rPr>
                <w:rFonts w:hint="eastAsia" w:ascii="宋体" w:hAnsi="宋体"/>
                <w:color w:val="000000"/>
                <w:sz w:val="20"/>
                <w:szCs w:val="20"/>
              </w:rPr>
              <w:t>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）、工业企业厂界环境噪声排放标准（GB12348-2008）3类</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80" w:lineRule="auto"/>
              <w:jc w:val="left"/>
              <w:rPr>
                <w:rFonts w:hint="eastAsia" w:ascii="宋体" w:hAnsi="宋体"/>
                <w:sz w:val="21"/>
                <w:szCs w:val="21"/>
              </w:rPr>
            </w:pPr>
            <w:r>
              <w:rPr>
                <w:rFonts w:hint="eastAsia" w:ascii="宋体" w:hAnsi="宋体"/>
                <w:sz w:val="21"/>
                <w:szCs w:val="21"/>
              </w:rPr>
              <w:t>销售流程：</w:t>
            </w:r>
          </w:p>
          <w:p>
            <w:pPr>
              <w:rPr>
                <w:rFonts w:hint="eastAsia" w:ascii="宋体" w:hAnsi="宋体"/>
                <w:szCs w:val="21"/>
                <w:lang w:val="en-US" w:eastAsia="zh-CN"/>
              </w:rPr>
            </w:pPr>
            <w:r>
              <w:rPr>
                <w:rFonts w:hint="eastAsia" w:ascii="宋体" w:hAnsi="宋体"/>
                <w:szCs w:val="21"/>
                <w:lang w:val="en-US" w:eastAsia="zh-CN"/>
              </w:rPr>
              <w:t>市场开发——确定客户需求——签订合同——产品采购——检验——销售——售后服务</w:t>
            </w:r>
          </w:p>
          <w:p>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销售过程为关键过程。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针对关键过程建立的控制文件有：销售服务管理制度、尔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lang w:val="en-US" w:eastAsia="zh-CN"/>
              </w:rPr>
              <w:t>电脑、打印机、传真机等</w:t>
            </w:r>
            <w:r>
              <w:rPr>
                <w:rFonts w:hint="eastAsia" w:ascii="宋体" w:hAnsi="宋体" w:cs="宋体"/>
                <w:szCs w:val="21"/>
              </w:rPr>
              <w:t>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none"/>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不可接受风险有：</w:t>
            </w:r>
            <w:bookmarkStart w:id="24" w:name="_GoBack"/>
            <w:r>
              <w:rPr>
                <w:rFonts w:hint="eastAsia" w:ascii="宋体"/>
                <w:color w:val="000000"/>
                <w:sz w:val="20"/>
                <w:szCs w:val="20"/>
              </w:rPr>
              <w:t>火灾</w:t>
            </w:r>
            <w:r>
              <w:rPr>
                <w:rFonts w:hint="eastAsia" w:ascii="宋体"/>
                <w:color w:val="000000"/>
                <w:sz w:val="20"/>
                <w:szCs w:val="20"/>
                <w:lang w:eastAsia="zh-CN"/>
              </w:rPr>
              <w:t>、</w:t>
            </w:r>
            <w:r>
              <w:rPr>
                <w:rFonts w:hint="eastAsia" w:ascii="宋体"/>
                <w:color w:val="000000"/>
                <w:sz w:val="20"/>
                <w:szCs w:val="20"/>
                <w:lang w:val="en-US" w:eastAsia="zh-CN"/>
              </w:rPr>
              <w:t>中暑</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4</w:t>
            </w:r>
            <w:r>
              <w:rPr>
                <w:rFonts w:hint="eastAsia" w:ascii="宋体"/>
                <w:color w:val="000000"/>
                <w:sz w:val="20"/>
                <w:szCs w:val="20"/>
                <w:u w:val="single"/>
                <w:lang w:val="en-US" w:eastAsia="zh-CN"/>
              </w:rPr>
              <w:t>0</w:t>
            </w:r>
            <w:r>
              <w:rPr>
                <w:rFonts w:hint="eastAsia" w:ascii="宋体"/>
                <w:color w:val="000000"/>
                <w:sz w:val="20"/>
                <w:szCs w:val="20"/>
              </w:rPr>
              <w:t>人，其中管理人员：</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供销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w:t>
            </w:r>
            <w:r>
              <w:rPr>
                <w:rFonts w:hint="eastAsia" w:ascii="宋体" w:hAnsi="宋体"/>
                <w:szCs w:val="21"/>
                <w:lang w:val="en-US" w:eastAsia="zh-CN"/>
              </w:rPr>
              <w:t>供销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w:t>
            </w:r>
            <w:r>
              <w:rPr>
                <w:rFonts w:hint="eastAsia" w:ascii="宋体" w:hAnsi="宋体"/>
                <w:szCs w:val="21"/>
                <w:lang w:val="en-US" w:eastAsia="zh-CN"/>
              </w:rPr>
              <w:t>控制程序</w:t>
            </w:r>
            <w:r>
              <w:rPr>
                <w:rFonts w:hint="eastAsia" w:ascii="宋体" w:hAnsi="宋体"/>
                <w:szCs w:val="21"/>
              </w:rPr>
              <w:t>》</w:t>
            </w:r>
            <w:r>
              <w:rPr>
                <w:rFonts w:hint="eastAsia"/>
                <w:szCs w:val="21"/>
              </w:rPr>
              <w:t>，于2019年</w:t>
            </w:r>
            <w:r>
              <w:rPr>
                <w:rFonts w:hint="eastAsia"/>
                <w:szCs w:val="21"/>
                <w:lang w:val="en-US" w:eastAsia="zh-CN"/>
              </w:rPr>
              <w:t>5</w:t>
            </w:r>
            <w:r>
              <w:rPr>
                <w:rFonts w:hint="eastAsia"/>
                <w:szCs w:val="21"/>
              </w:rPr>
              <w:t>月</w:t>
            </w:r>
            <w:r>
              <w:rPr>
                <w:rFonts w:hint="eastAsia"/>
                <w:szCs w:val="21"/>
                <w:lang w:val="en-US" w:eastAsia="zh-CN"/>
              </w:rPr>
              <w:t>20</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val="en-US" w:eastAsia="zh-CN"/>
              </w:rPr>
              <w:t>袁进</w:t>
            </w:r>
            <w:r>
              <w:rPr>
                <w:rFonts w:hint="eastAsia"/>
                <w:szCs w:val="21"/>
              </w:rPr>
              <w:t>（组长）、</w:t>
            </w:r>
            <w:r>
              <w:rPr>
                <w:rFonts w:hint="eastAsia"/>
                <w:szCs w:val="21"/>
                <w:lang w:val="en-US" w:eastAsia="zh-CN"/>
              </w:rPr>
              <w:t>胡金萍</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建立有《管理评审控制程序》，于2019年5月13日就管理方针和目标，评价和审定管理体系运行的适宜性、充分性和有效性进行了评审。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highlight w:val="none"/>
        </w:rPr>
      </w:pPr>
      <w:r>
        <w:rPr>
          <w:rFonts w:hint="eastAsia" w:ascii="宋体" w:hAnsi="宋体"/>
          <w:b/>
          <w:color w:val="000000"/>
          <w:sz w:val="26"/>
          <w:szCs w:val="26"/>
          <w:highlight w:val="none"/>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highlight w:val="none"/>
              </w:rPr>
            </w:pPr>
            <w:r>
              <w:rPr>
                <w:rFonts w:hint="eastAsia" w:ascii="宋体" w:hAnsi="宋体"/>
                <w:b/>
                <w:color w:val="000000"/>
                <w:sz w:val="20"/>
                <w:szCs w:val="20"/>
                <w:highlight w:val="none"/>
              </w:rPr>
              <w:t>评价项目</w:t>
            </w:r>
          </w:p>
        </w:tc>
        <w:tc>
          <w:tcPr>
            <w:tcW w:w="709" w:type="dxa"/>
          </w:tcPr>
          <w:p>
            <w:pPr>
              <w:widowControl/>
              <w:jc w:val="left"/>
              <w:rPr>
                <w:rFonts w:ascii="宋体"/>
                <w:b/>
                <w:color w:val="000000"/>
                <w:sz w:val="20"/>
                <w:szCs w:val="20"/>
                <w:highlight w:val="none"/>
              </w:rPr>
            </w:pPr>
          </w:p>
        </w:tc>
        <w:tc>
          <w:tcPr>
            <w:tcW w:w="708" w:type="dxa"/>
          </w:tcPr>
          <w:p>
            <w:pPr>
              <w:widowControl/>
              <w:jc w:val="left"/>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widowControl/>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1</w:t>
            </w:r>
            <w:r>
              <w:rPr>
                <w:rFonts w:hint="eastAsia" w:ascii="宋体" w:hAnsi="宋体"/>
                <w:color w:val="000000"/>
                <w:sz w:val="20"/>
                <w:szCs w:val="20"/>
                <w:highlight w:val="none"/>
              </w:rPr>
              <w:t>）是否建立一套整合的文件，适宜时，包括适度融合的作业文件；</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2</w:t>
            </w:r>
            <w:r>
              <w:rPr>
                <w:rFonts w:hint="eastAsia" w:ascii="宋体" w:hAnsi="宋体"/>
                <w:color w:val="000000"/>
                <w:sz w:val="20"/>
                <w:szCs w:val="20"/>
                <w:highlight w:val="none"/>
              </w:rPr>
              <w:t>）是否考虑总体经营战略和计划的管理评审；</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3</w:t>
            </w:r>
            <w:r>
              <w:rPr>
                <w:rFonts w:hint="eastAsia" w:ascii="宋体" w:hAnsi="宋体"/>
                <w:color w:val="000000"/>
                <w:sz w:val="20"/>
                <w:szCs w:val="20"/>
                <w:highlight w:val="none"/>
              </w:rPr>
              <w:t>）是否对内部审核采用的一体化方法；</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4</w:t>
            </w:r>
            <w:r>
              <w:rPr>
                <w:rFonts w:hint="eastAsia" w:ascii="宋体" w:hAnsi="宋体"/>
                <w:color w:val="000000"/>
                <w:sz w:val="20"/>
                <w:szCs w:val="20"/>
                <w:highlight w:val="none"/>
              </w:rPr>
              <w:t>）是否对方针和目标采用的一体化方法；</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）是否对体系过程采用的一体化方法；</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）是否对改进机制（纠正和预防措施、测量和持续改进）采用的一体化方法；</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vAlign w:val="top"/>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7</w:t>
            </w:r>
            <w:r>
              <w:rPr>
                <w:rFonts w:hint="eastAsia" w:ascii="宋体" w:hAnsi="宋体"/>
                <w:color w:val="000000"/>
                <w:sz w:val="20"/>
                <w:szCs w:val="20"/>
                <w:highlight w:val="none"/>
              </w:rPr>
              <w:t>）是否有一体化的管理支持和管理职责。</w:t>
            </w:r>
          </w:p>
        </w:tc>
        <w:tc>
          <w:tcPr>
            <w:tcW w:w="709" w:type="dxa"/>
            <w:vAlign w:val="top"/>
          </w:tcPr>
          <w:p>
            <w:pPr>
              <w:rPr>
                <w:rFonts w:ascii="宋体"/>
                <w:color w:val="000000"/>
                <w:sz w:val="20"/>
                <w:szCs w:val="20"/>
                <w:highlight w:val="none"/>
              </w:rPr>
            </w:pPr>
            <w:r>
              <w:rPr>
                <w:rFonts w:hint="eastAsia" w:ascii="宋体" w:hAnsi="宋体"/>
                <w:color w:val="000000"/>
                <w:sz w:val="20"/>
                <w:szCs w:val="20"/>
                <w:highlight w:val="none"/>
              </w:rPr>
              <w:t>■是</w:t>
            </w:r>
          </w:p>
        </w:tc>
        <w:tc>
          <w:tcPr>
            <w:tcW w:w="708" w:type="dxa"/>
            <w:vAlign w:val="top"/>
          </w:tcPr>
          <w:p>
            <w:pPr>
              <w:rPr>
                <w:rFonts w:ascii="宋体"/>
                <w:color w:val="000000"/>
                <w:sz w:val="20"/>
                <w:szCs w:val="20"/>
                <w:highlight w:val="none"/>
              </w:rPr>
            </w:pPr>
            <w:r>
              <w:rPr>
                <w:rFonts w:hint="eastAsia" w:ascii="宋体" w:hAnsi="宋体"/>
                <w:color w:val="000000"/>
                <w:sz w:val="20"/>
                <w:szCs w:val="20"/>
                <w:highlight w:val="none"/>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u w:val="single"/>
        </w:rPr>
        <w:t xml:space="preserve"> </w:t>
      </w:r>
      <w:r>
        <w:rPr>
          <w:rFonts w:hint="eastAsia" w:ascii="宋体" w:hAnsi="宋体"/>
          <w:szCs w:val="21"/>
          <w:u w:val="single"/>
        </w:rPr>
        <w:t xml:space="preserve">电力监测设备、仪器仪表的销售涉及的环境管理活动 </w:t>
      </w:r>
      <w:r>
        <w:rPr>
          <w:rFonts w:hint="eastAsia" w:ascii="宋体" w:hAnsi="宋体"/>
          <w:szCs w:val="21"/>
          <w:u w:val="single"/>
          <w:lang w:eastAsia="zh-CN"/>
        </w:rPr>
        <w:t>。</w:t>
      </w:r>
      <w:r>
        <w:rPr>
          <w:rFonts w:ascii="宋体" w:hAnsi="宋体"/>
          <w:b/>
          <w:color w:val="000000"/>
          <w:sz w:val="20"/>
          <w:szCs w:val="20"/>
        </w:rPr>
        <w:t>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u w:val="single"/>
        </w:rPr>
        <w:t>_</w:t>
      </w:r>
      <w:r>
        <w:rPr>
          <w:rFonts w:hint="eastAsia" w:ascii="宋体" w:hAnsi="宋体"/>
          <w:szCs w:val="21"/>
          <w:u w:val="single"/>
        </w:rPr>
        <w:t>电力监测设备、仪器仪表的销售所涉及的职业健康安全管理活动</w:t>
      </w:r>
      <w:r>
        <w:rPr>
          <w:rFonts w:ascii="宋体" w:hAnsi="宋体"/>
          <w:b/>
          <w:color w:val="000000"/>
          <w:sz w:val="20"/>
          <w:szCs w:val="20"/>
          <w:u w:val="single"/>
        </w:rPr>
        <w:t>_</w:t>
      </w:r>
      <w:r>
        <w:rPr>
          <w:rFonts w:hint="eastAsia" w:ascii="宋体" w:hAnsi="宋体"/>
          <w:b/>
          <w:color w:val="000000"/>
          <w:sz w:val="20"/>
          <w:szCs w:val="20"/>
          <w:u w:val="single"/>
          <w:lang w:eastAsia="zh-CN"/>
        </w:rPr>
        <w:t>。</w:t>
      </w:r>
      <w:r>
        <w:rPr>
          <w:rFonts w:ascii="宋体" w:hAnsi="宋体"/>
          <w:b/>
          <w:color w:val="000000"/>
          <w:sz w:val="20"/>
          <w:szCs w:val="20"/>
          <w:u w:val="single"/>
        </w:rPr>
        <w:t>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6746" w:firstLineChars="3200"/>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重</w:t>
      </w:r>
      <w:r>
        <w:rPr>
          <w:color w:val="000000"/>
          <w:sz w:val="21"/>
          <w:szCs w:val="21"/>
        </w:rPr>
        <w:t>庆臻远电气有限公司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74CC1"/>
    <w:rsid w:val="13A67ADB"/>
    <w:rsid w:val="517A7975"/>
    <w:rsid w:val="589631CD"/>
    <w:rsid w:val="5E5B3510"/>
    <w:rsid w:val="669C6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O_O</cp:lastModifiedBy>
  <dcterms:modified xsi:type="dcterms:W3CDTF">2019-09-04T07:08:42Z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