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02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安徽省三环纸业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40822153876628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洪百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徐梅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79878892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56-466962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5563931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9908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