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四川丰德天能能源装备有限公司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11558-2025-SA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2025年12月29日上午至2025年12月29日下午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1881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