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24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安徽基石建筑工程有限公司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窦文杰、芦光华、孙洪艳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503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2024-N1EMS-1395977</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窦文杰、芦光华、孙洪艳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23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