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辽宁新华仪器有限公司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20409-2023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73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