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江阴市永丰食品制造有限公司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F:CI-1,CIII,CIV-1</w:t>
            </w:r>
          </w:p>
          <w:p w:rsidR="008E67FF" w:rsidP="008E67FF">
            <w:pPr>
              <w:spacing w:line="240" w:lineRule="exact"/>
              <w:jc w:val="center"/>
              <w:rPr>
                <w:b/>
                <w:color w:val="000000" w:themeColor="text1"/>
                <w:sz w:val="20"/>
                <w:szCs w:val="20"/>
              </w:rPr>
            </w:pPr>
            <w:r>
              <w:rPr>
                <w:b/>
                <w:color w:val="000000" w:themeColor="text1"/>
                <w:sz w:val="20"/>
                <w:szCs w:val="20"/>
              </w:rPr>
              <w:t>H:CI-1,CIII,CIV-1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F：GB/T22000-2006/ISO22000:2005,H：GB/T27341-2009/GB14881-2013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江阴市永丰食品制造有限公司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江阴市南闸街道东盟工业园西首南焦路253号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214405</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江阴市南闸街道东盟工业园西首南焦路253号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214405</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高亭</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13915219111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徐晓震</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高亭</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F：肉制品，速冻食品（速冻米面食品、速冻调制食品），淀粉及淀粉制品的生产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H：肉制品，速冻食品（速冻米面食品、速冻调制食品），淀粉及淀粉制品的生产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F：CI-1;CIII;CIV-1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H：CI-1;CIII;CIV-1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