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20249-2024-EO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成都欧林生物科技股份有限公司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余家龙</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91510100698860749H</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成都欧林生物科技股份有限公司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成都高新区天欣路99号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成都高新区天欣路99号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E:资质许可范围内吸附破伤风疫苗、b型流感嗜血杆菌结合疫苗、A群C群脑膜炎球菌多糖结合疫苗的研发及生产所涉及场所的相关环境管理活动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O:资质许可范围内吸附破伤风疫苗、b型流感嗜血杆菌结合疫苗、A群C群脑膜炎球菌多糖结合疫苗的研发及生产所涉及场所的相关职业健康安全管理活动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成都欧林生物科技股份有限公司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成都高新区天欣路99号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成都高新区天欣路99号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E:资质许可范围内吸附破伤风疫苗、b型流感嗜血杆菌结合疫苗、A群C群脑膜炎球菌多糖结合疫苗的研发及生产所涉及场所的相关环境管理活动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O:资质许可范围内吸附破伤风疫苗、b型流感嗜血杆菌结合疫苗、A群C群脑膜炎球菌多糖结合疫苗的研发及生产所涉及场所的相关职业健康安全管理活动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90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