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四川信合伟业建材有限公司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9:00:00上午至2025-05-06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