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10508-2025-EO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青岛天利达耐火材料有限公司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郑娟娟</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91370281725581674K</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青岛天利达耐火材料有限公司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青岛胶州市泉州北路29号</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山东省青岛市胶州市胶北办事处北关工业园浙江路9号</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E:耐火材料（铝锆碳质整体塞棒、水口、长水口）的生产所涉及场所的相关环境管理活动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O:耐火材料（铝锆碳质整体塞棒、水口、长水口）的生产所涉及场所的相关职业健康安全管理活动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青岛天利达耐火材料有限公司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青岛胶州市泉州北路29号</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山东省青岛市胶州市胶北办事处北关工业园浙江路9号</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E:耐火材料（铝锆碳质整体塞棒、水口、长水口）的生产所涉及场所的相关环境管理活动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O:耐火材料（铝锆碳质整体塞棒、水口、长水口）的生产所涉及场所的相关职业健康安全管理活动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94815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