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r>
        <w:rPr>
          <w:rFonts w:hint="eastAsia"/>
          <w:b/>
          <w:sz w:val="22"/>
          <w:szCs w:val="22"/>
        </w:rPr>
        <w:t>□</w:t>
      </w:r>
      <w:r>
        <w:rPr>
          <w:b/>
          <w:sz w:val="22"/>
          <w:szCs w:val="22"/>
        </w:rPr>
        <w:t xml:space="preserve">QMS  </w:t>
      </w:r>
      <w:bookmarkStart w:id="0" w:name="QJ勾选"/>
      <w:r>
        <w:rPr>
          <w:rFonts w:hint="eastAsia"/>
          <w:b/>
          <w:sz w:val="22"/>
          <w:szCs w:val="22"/>
        </w:rPr>
        <w:t>□</w:t>
      </w:r>
      <w:bookmarkEnd w:id="0"/>
      <w:r>
        <w:rPr>
          <w:rFonts w:hint="eastAsia"/>
          <w:b/>
          <w:sz w:val="22"/>
          <w:szCs w:val="22"/>
        </w:rPr>
        <w:t>5</w:t>
      </w:r>
      <w:r>
        <w:rPr>
          <w:b/>
          <w:sz w:val="22"/>
          <w:szCs w:val="22"/>
        </w:rPr>
        <w:t xml:space="preserve">0430  </w:t>
      </w:r>
      <w:bookmarkStart w:id="1" w:name="E勾选"/>
      <w:r>
        <w:rPr>
          <w:rFonts w:hint="eastAsia"/>
          <w:b/>
          <w:sz w:val="22"/>
          <w:szCs w:val="22"/>
        </w:rPr>
        <w:t>■</w:t>
      </w:r>
      <w:bookmarkEnd w:id="1"/>
      <w:r>
        <w:rPr>
          <w:b/>
          <w:sz w:val="22"/>
          <w:szCs w:val="22"/>
        </w:rPr>
        <w:t xml:space="preserve">EMS  </w:t>
      </w:r>
      <w:bookmarkStart w:id="2" w:name="S勾选"/>
      <w:r>
        <w:rPr>
          <w:rFonts w:hint="eastAsia"/>
          <w:b/>
          <w:sz w:val="22"/>
          <w:szCs w:val="22"/>
        </w:rPr>
        <w:t>■</w:t>
      </w:r>
      <w:bookmarkEnd w:id="2"/>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28"/>
        <w:gridCol w:w="1112"/>
        <w:gridCol w:w="1025"/>
        <w:gridCol w:w="1505"/>
        <w:gridCol w:w="1290"/>
        <w:gridCol w:w="908"/>
        <w:gridCol w:w="597"/>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3"/>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2530" w:type="dxa"/>
            <w:gridSpan w:val="2"/>
            <w:tcBorders>
              <w:top w:val="single" w:color="auto" w:sz="8" w:space="0"/>
            </w:tcBorders>
            <w:vAlign w:val="center"/>
          </w:tcPr>
          <w:p>
            <w:pPr>
              <w:snapToGrid w:val="0"/>
              <w:spacing w:line="280" w:lineRule="exact"/>
              <w:jc w:val="center"/>
              <w:rPr>
                <w:b/>
                <w:sz w:val="20"/>
              </w:rPr>
            </w:pPr>
            <w:bookmarkStart w:id="3" w:name="组织名称"/>
            <w:r>
              <w:rPr>
                <w:rFonts w:asciiTheme="minorEastAsia" w:hAnsiTheme="minorEastAsia" w:eastAsiaTheme="minorEastAsia"/>
                <w:sz w:val="20"/>
              </w:rPr>
              <w:t>河北安佳电热设备科技有限公司</w:t>
            </w:r>
            <w:bookmarkEnd w:id="3"/>
          </w:p>
        </w:tc>
        <w:tc>
          <w:tcPr>
            <w:tcW w:w="2198"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3696" w:type="dxa"/>
            <w:gridSpan w:val="3"/>
            <w:tcBorders>
              <w:top w:val="single" w:color="auto" w:sz="8" w:space="0"/>
            </w:tcBorders>
            <w:vAlign w:val="center"/>
          </w:tcPr>
          <w:p>
            <w:pPr>
              <w:ind w:firstLine="1200" w:firstLineChars="600"/>
              <w:rPr>
                <w:b/>
                <w:sz w:val="20"/>
              </w:rPr>
            </w:pPr>
            <w:bookmarkStart w:id="4" w:name="专业代码"/>
            <w:r>
              <w:rPr>
                <w:sz w:val="20"/>
              </w:rPr>
              <w:t>E：29.12.00</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1137" w:type="dxa"/>
            <w:gridSpan w:val="2"/>
            <w:vAlign w:val="center"/>
          </w:tcPr>
          <w:p>
            <w:pPr>
              <w:snapToGrid w:val="0"/>
              <w:spacing w:line="280" w:lineRule="exact"/>
              <w:jc w:val="center"/>
              <w:rPr>
                <w:b/>
                <w:sz w:val="22"/>
                <w:szCs w:val="22"/>
              </w:rPr>
            </w:pPr>
            <w:r>
              <w:rPr>
                <w:rFonts w:hint="eastAsia"/>
                <w:b/>
                <w:sz w:val="22"/>
                <w:szCs w:val="22"/>
              </w:rPr>
              <w:t>教师姓名</w:t>
            </w:r>
          </w:p>
        </w:tc>
        <w:tc>
          <w:tcPr>
            <w:tcW w:w="1112" w:type="dxa"/>
            <w:vAlign w:val="center"/>
          </w:tcPr>
          <w:p>
            <w:pPr>
              <w:snapToGrid w:val="0"/>
              <w:spacing w:line="280" w:lineRule="exact"/>
              <w:jc w:val="center"/>
              <w:rPr>
                <w:rFonts w:hint="default" w:eastAsia="宋体"/>
                <w:b/>
                <w:sz w:val="20"/>
                <w:lang w:val="en-US" w:eastAsia="zh-CN"/>
              </w:rPr>
            </w:pPr>
            <w:r>
              <w:drawing>
                <wp:anchor distT="0" distB="0" distL="114300" distR="114300" simplePos="0" relativeHeight="251668480" behindDoc="1" locked="0" layoutInCell="1" allowOverlap="1">
                  <wp:simplePos x="0" y="0"/>
                  <wp:positionH relativeFrom="column">
                    <wp:posOffset>24130</wp:posOffset>
                  </wp:positionH>
                  <wp:positionV relativeFrom="paragraph">
                    <wp:posOffset>234315</wp:posOffset>
                  </wp:positionV>
                  <wp:extent cx="497840" cy="504190"/>
                  <wp:effectExtent l="0" t="0" r="10160" b="3810"/>
                  <wp:wrapTight wrapText="bothSides">
                    <wp:wrapPolygon>
                      <wp:start x="0" y="0"/>
                      <wp:lineTo x="0" y="21219"/>
                      <wp:lineTo x="20939" y="21219"/>
                      <wp:lineTo x="20939"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lum contrast="84000"/>
                          </a:blip>
                          <a:stretch>
                            <a:fillRect/>
                          </a:stretch>
                        </pic:blipFill>
                        <pic:spPr>
                          <a:xfrm>
                            <a:off x="0" y="0"/>
                            <a:ext cx="497840"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tc>
        <w:tc>
          <w:tcPr>
            <w:tcW w:w="1025" w:type="dxa"/>
            <w:vAlign w:val="center"/>
          </w:tcPr>
          <w:p>
            <w:pPr>
              <w:snapToGrid w:val="0"/>
              <w:spacing w:line="280" w:lineRule="exact"/>
              <w:jc w:val="center"/>
              <w:rPr>
                <w:b/>
                <w:sz w:val="22"/>
                <w:szCs w:val="22"/>
              </w:rPr>
            </w:pPr>
            <w:r>
              <w:rPr>
                <w:rFonts w:hint="eastAsia"/>
                <w:b/>
                <w:sz w:val="22"/>
                <w:szCs w:val="22"/>
              </w:rPr>
              <w:t>专业</w:t>
            </w:r>
          </w:p>
        </w:tc>
        <w:tc>
          <w:tcPr>
            <w:tcW w:w="4300" w:type="dxa"/>
            <w:gridSpan w:val="4"/>
            <w:vAlign w:val="center"/>
          </w:tcPr>
          <w:p>
            <w:pPr>
              <w:snapToGrid w:val="0"/>
              <w:spacing w:line="280" w:lineRule="exact"/>
              <w:ind w:left="52"/>
              <w:jc w:val="center"/>
              <w:rPr>
                <w:b/>
                <w:sz w:val="20"/>
              </w:rPr>
            </w:pPr>
            <w:r>
              <w:rPr>
                <w:b/>
                <w:sz w:val="20"/>
              </w:rPr>
              <w:t>E：29.12.00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企业办公室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gridSpan w:val="2"/>
            <w:vAlign w:val="center"/>
          </w:tcPr>
          <w:p>
            <w:pPr>
              <w:snapToGrid w:val="0"/>
              <w:jc w:val="center"/>
              <w:rPr>
                <w:b/>
                <w:sz w:val="20"/>
              </w:rPr>
            </w:pPr>
            <w:r>
              <w:rPr>
                <w:rFonts w:hint="eastAsia"/>
                <w:b/>
                <w:sz w:val="20"/>
              </w:rPr>
              <w:t>姓名</w:t>
            </w:r>
          </w:p>
        </w:tc>
        <w:tc>
          <w:tcPr>
            <w:tcW w:w="3820" w:type="dxa"/>
            <w:gridSpan w:val="3"/>
            <w:vAlign w:val="center"/>
          </w:tcPr>
          <w:p>
            <w:pPr>
              <w:snapToGrid w:val="0"/>
              <w:spacing w:line="360" w:lineRule="exact"/>
              <w:jc w:val="both"/>
              <w:rPr>
                <w:rFonts w:hint="eastAsia" w:eastAsia="宋体"/>
                <w:b/>
                <w:sz w:val="20"/>
                <w:lang w:val="en-US" w:eastAsia="zh-CN"/>
              </w:rPr>
            </w:pPr>
            <w:r>
              <w:rPr>
                <w:rFonts w:hint="default" w:eastAsia="宋体"/>
                <w:b/>
                <w:sz w:val="21"/>
                <w:lang w:val="en-US" w:eastAsia="zh-CN"/>
              </w:rPr>
              <w:drawing>
                <wp:anchor distT="0" distB="0" distL="114300" distR="114300" simplePos="0" relativeHeight="251692032" behindDoc="0" locked="0" layoutInCell="1" allowOverlap="1">
                  <wp:simplePos x="0" y="0"/>
                  <wp:positionH relativeFrom="column">
                    <wp:posOffset>597535</wp:posOffset>
                  </wp:positionH>
                  <wp:positionV relativeFrom="paragraph">
                    <wp:posOffset>52070</wp:posOffset>
                  </wp:positionV>
                  <wp:extent cx="829310" cy="350520"/>
                  <wp:effectExtent l="0" t="0" r="8890" b="5080"/>
                  <wp:wrapSquare wrapText="bothSides"/>
                  <wp:docPr id="3" name="图片 3" descr="64bbbb4fe4e246e26e4c9bfda51c5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4bbbb4fe4e246e26e4c9bfda51c51e"/>
                          <pic:cNvPicPr>
                            <a:picLocks noChangeAspect="1"/>
                          </pic:cNvPicPr>
                        </pic:nvPicPr>
                        <pic:blipFill>
                          <a:blip r:embed="rId6">
                            <a:lum bright="36000"/>
                          </a:blip>
                          <a:stretch>
                            <a:fillRect/>
                          </a:stretch>
                        </pic:blipFill>
                        <pic:spPr>
                          <a:xfrm>
                            <a:off x="0" y="0"/>
                            <a:ext cx="829310" cy="350520"/>
                          </a:xfrm>
                          <a:prstGeom prst="rect">
                            <a:avLst/>
                          </a:prstGeom>
                        </pic:spPr>
                      </pic:pic>
                    </a:graphicData>
                  </a:graphic>
                </wp:anchor>
              </w:drawing>
            </w:r>
          </w:p>
        </w:tc>
        <w:tc>
          <w:tcPr>
            <w:tcW w:w="4604" w:type="dxa"/>
            <w:gridSpan w:val="4"/>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gridSpan w:val="2"/>
            <w:vAlign w:val="center"/>
          </w:tcPr>
          <w:p>
            <w:pPr>
              <w:snapToGrid w:val="0"/>
              <w:spacing w:line="280" w:lineRule="exact"/>
              <w:jc w:val="center"/>
              <w:rPr>
                <w:b/>
                <w:sz w:val="20"/>
              </w:rPr>
            </w:pPr>
            <w:r>
              <w:rPr>
                <w:rFonts w:hint="eastAsia"/>
                <w:b/>
                <w:sz w:val="20"/>
              </w:rPr>
              <w:t>专业代码</w:t>
            </w:r>
          </w:p>
        </w:tc>
        <w:tc>
          <w:tcPr>
            <w:tcW w:w="3820" w:type="dxa"/>
            <w:gridSpan w:val="3"/>
            <w:vAlign w:val="center"/>
          </w:tcPr>
          <w:p>
            <w:pPr>
              <w:snapToGrid w:val="0"/>
              <w:spacing w:line="280" w:lineRule="exact"/>
              <w:ind w:left="52"/>
              <w:jc w:val="center"/>
              <w:rPr>
                <w:b/>
                <w:sz w:val="20"/>
              </w:rPr>
            </w:pPr>
            <w:r>
              <w:rPr>
                <w:b/>
                <w:sz w:val="20"/>
              </w:rPr>
              <w:t>E：29.12.00</w:t>
            </w:r>
          </w:p>
        </w:tc>
        <w:tc>
          <w:tcPr>
            <w:tcW w:w="4604" w:type="dxa"/>
            <w:gridSpan w:val="4"/>
            <w:vAlign w:val="center"/>
          </w:tcPr>
          <w:p>
            <w:pPr>
              <w:snapToGrid w:val="0"/>
              <w:spacing w:line="280" w:lineRule="exact"/>
              <w:ind w:left="52"/>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2249" w:type="dxa"/>
            <w:gridSpan w:val="3"/>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7"/>
            <w:vAlign w:val="center"/>
          </w:tcPr>
          <w:p>
            <w:pPr>
              <w:rPr>
                <w:rFonts w:hint="default" w:ascii="Times New Roman" w:hAnsi="Times New Roman" w:cs="Times New Roman"/>
                <w:sz w:val="21"/>
                <w:szCs w:val="21"/>
                <w:lang w:val="en-US" w:eastAsia="zh-CN"/>
              </w:rPr>
            </w:pPr>
            <w:r>
              <w:rPr>
                <w:rFonts w:hint="eastAsia" w:cs="Times New Roman"/>
                <w:sz w:val="18"/>
                <w:szCs w:val="18"/>
                <w:lang w:val="en-US" w:eastAsia="zh-CN"/>
              </w:rPr>
              <w:t>销售服务过程：客户开拓-客户接洽-需求分析-产品介绍-客户沟通-签订合同-收款发货-售后服务-顾客满意度调查。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3"/>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tc>
        <w:tc>
          <w:tcPr>
            <w:tcW w:w="8424" w:type="dxa"/>
            <w:gridSpan w:val="7"/>
            <w:vAlign w:val="center"/>
          </w:tcPr>
          <w:p>
            <w:pPr>
              <w:rPr>
                <w:rFonts w:hint="eastAsia" w:cs="Times New Roman"/>
                <w:sz w:val="18"/>
                <w:szCs w:val="18"/>
                <w:lang w:val="en-US" w:eastAsia="zh-CN"/>
              </w:rPr>
            </w:pPr>
            <w:r>
              <w:rPr>
                <w:rFonts w:hint="default" w:cs="Times New Roman"/>
                <w:sz w:val="18"/>
                <w:szCs w:val="18"/>
                <w:lang w:val="en-US" w:eastAsia="zh-CN"/>
              </w:rPr>
              <w:t>销售计划管理</w:t>
            </w:r>
          </w:p>
          <w:p>
            <w:pPr>
              <w:rPr>
                <w:rFonts w:hint="default" w:cs="Times New Roman"/>
                <w:sz w:val="18"/>
                <w:szCs w:val="18"/>
                <w:lang w:val="en-US" w:eastAsia="zh-CN"/>
              </w:rPr>
            </w:pPr>
            <w:r>
              <w:rPr>
                <w:rFonts w:hint="default" w:cs="Times New Roman"/>
                <w:sz w:val="18"/>
                <w:szCs w:val="18"/>
                <w:lang w:val="en-US" w:eastAsia="zh-CN"/>
              </w:rPr>
              <w:t>* 主要风险：销售计划缺乏或不合理，或未经授权审批，导致产品结构和生产安排不合理，难以实现企业生产经营的良性循环。</w:t>
            </w:r>
          </w:p>
          <w:p>
            <w:pPr>
              <w:rPr>
                <w:rFonts w:hint="default" w:cs="Times New Roman"/>
                <w:sz w:val="18"/>
                <w:szCs w:val="18"/>
                <w:lang w:val="en-US" w:eastAsia="zh-CN"/>
              </w:rPr>
            </w:pPr>
            <w:r>
              <w:rPr>
                <w:rFonts w:hint="default" w:cs="Times New Roman"/>
                <w:sz w:val="18"/>
                <w:szCs w:val="18"/>
                <w:lang w:val="en-US" w:eastAsia="zh-CN"/>
              </w:rPr>
              <w:t>* 主要管控措施：第一，制定年度销售计划；第二，定期分析销售。</w:t>
            </w:r>
          </w:p>
          <w:p>
            <w:pPr>
              <w:rPr>
                <w:rFonts w:hint="default" w:cs="Times New Roman"/>
                <w:sz w:val="18"/>
                <w:szCs w:val="18"/>
                <w:lang w:val="en-US" w:eastAsia="zh-CN"/>
              </w:rPr>
            </w:pPr>
            <w:r>
              <w:rPr>
                <w:rFonts w:hint="default" w:cs="Times New Roman"/>
                <w:sz w:val="18"/>
                <w:szCs w:val="18"/>
                <w:lang w:val="en-US" w:eastAsia="zh-CN"/>
              </w:rPr>
              <w:t>客户开发与信用管理</w:t>
            </w:r>
          </w:p>
          <w:p>
            <w:pPr>
              <w:rPr>
                <w:rFonts w:hint="default" w:cs="Times New Roman"/>
                <w:sz w:val="18"/>
                <w:szCs w:val="18"/>
                <w:lang w:val="en-US" w:eastAsia="zh-CN"/>
              </w:rPr>
            </w:pPr>
            <w:r>
              <w:rPr>
                <w:rFonts w:hint="default" w:cs="Times New Roman"/>
                <w:sz w:val="18"/>
                <w:szCs w:val="18"/>
                <w:lang w:val="en-US" w:eastAsia="zh-CN"/>
              </w:rPr>
              <w:t>* 主要风险：现有客户管理不足、潜在市场需求开发不够，可能导致客户丢失或市场拓展不利；客户档案不健全，缺乏合理的资信评估，可能导致客户选择不当，销售款项不能收回或遭受欺诈，从而影响企业的资金流转和正常经营。</w:t>
            </w:r>
          </w:p>
          <w:p>
            <w:pPr>
              <w:rPr>
                <w:rFonts w:hint="default" w:cs="Times New Roman"/>
                <w:sz w:val="18"/>
                <w:szCs w:val="18"/>
                <w:lang w:val="en-US" w:eastAsia="zh-CN"/>
              </w:rPr>
            </w:pPr>
            <w:r>
              <w:rPr>
                <w:rFonts w:hint="default" w:cs="Times New Roman"/>
                <w:sz w:val="18"/>
                <w:szCs w:val="18"/>
                <w:lang w:val="en-US" w:eastAsia="zh-CN"/>
              </w:rPr>
              <w:t>* 主要管控措施：第一，确定定价机制和信用方式；第二，建立和不断更新维护客户信用动态档案。</w:t>
            </w:r>
          </w:p>
          <w:p>
            <w:pPr>
              <w:rPr>
                <w:rFonts w:hint="default" w:cs="Times New Roman"/>
                <w:sz w:val="18"/>
                <w:szCs w:val="18"/>
                <w:lang w:val="en-US" w:eastAsia="zh-CN"/>
              </w:rPr>
            </w:pPr>
            <w:r>
              <w:rPr>
                <w:rFonts w:hint="default" w:cs="Times New Roman"/>
                <w:sz w:val="18"/>
                <w:szCs w:val="18"/>
                <w:lang w:val="en-US" w:eastAsia="zh-CN"/>
              </w:rPr>
              <w:t>* 销售定价</w:t>
            </w:r>
          </w:p>
          <w:p>
            <w:pPr>
              <w:rPr>
                <w:rFonts w:hint="default" w:cs="Times New Roman"/>
                <w:sz w:val="18"/>
                <w:szCs w:val="18"/>
                <w:lang w:val="en-US" w:eastAsia="zh-CN"/>
              </w:rPr>
            </w:pPr>
            <w:r>
              <w:rPr>
                <w:rFonts w:hint="default" w:cs="Times New Roman"/>
                <w:sz w:val="18"/>
                <w:szCs w:val="18"/>
                <w:lang w:val="en-US" w:eastAsia="zh-CN"/>
              </w:rPr>
              <w:t>* 主要风险：定价或调价不符合价格政策，未能结合市场供需状况、盈利测算等进行适时调整，造成价格过高或过低、销售受损；商品销售价格未经恰当审批，或存在舞弊，可能导致损害企业经济利益或者企业形象。</w:t>
            </w:r>
          </w:p>
          <w:p>
            <w:pPr>
              <w:rPr>
                <w:rFonts w:hint="default" w:cs="Times New Roman"/>
                <w:sz w:val="18"/>
                <w:szCs w:val="18"/>
                <w:lang w:val="en-US" w:eastAsia="zh-CN"/>
              </w:rPr>
            </w:pPr>
            <w:r>
              <w:rPr>
                <w:rFonts w:hint="default" w:cs="Times New Roman"/>
                <w:sz w:val="18"/>
                <w:szCs w:val="18"/>
                <w:lang w:val="en-US" w:eastAsia="zh-CN"/>
              </w:rPr>
              <w:t>* 主要管控措施：第一，确定产品基准定价；第二，授予销售部门一定限度的价格浮动权；第三，审核批准销售折扣、销售折让等政策的制定。</w:t>
            </w:r>
          </w:p>
          <w:p>
            <w:pPr>
              <w:rPr>
                <w:rFonts w:hint="default" w:cs="Times New Roman"/>
                <w:sz w:val="18"/>
                <w:szCs w:val="18"/>
                <w:lang w:val="en-US" w:eastAsia="zh-CN"/>
              </w:rPr>
            </w:pPr>
            <w:r>
              <w:rPr>
                <w:rFonts w:hint="default" w:cs="Times New Roman"/>
                <w:sz w:val="18"/>
                <w:szCs w:val="18"/>
                <w:lang w:val="en-US" w:eastAsia="zh-CN"/>
              </w:rPr>
              <w:t>* 订立销售合同</w:t>
            </w:r>
          </w:p>
          <w:p>
            <w:pPr>
              <w:rPr>
                <w:rFonts w:hint="default" w:cs="Times New Roman"/>
                <w:sz w:val="18"/>
                <w:szCs w:val="18"/>
                <w:lang w:val="en-US" w:eastAsia="zh-CN"/>
              </w:rPr>
            </w:pPr>
            <w:r>
              <w:rPr>
                <w:rFonts w:hint="default" w:cs="Times New Roman"/>
                <w:sz w:val="18"/>
                <w:szCs w:val="18"/>
                <w:lang w:val="en-US" w:eastAsia="zh-CN"/>
              </w:rPr>
              <w:t>* 主要风险：合同内容存在重大疏漏和欺诈，未经授权对外订立销售合同，可能导致企业合法权益受到侵害；销售价格、收款期限等违背企业销售政策，可能导致企业经济利益受损。</w:t>
            </w:r>
          </w:p>
          <w:p>
            <w:pPr>
              <w:rPr>
                <w:rFonts w:hint="default" w:cs="Times New Roman"/>
                <w:sz w:val="18"/>
                <w:szCs w:val="18"/>
                <w:lang w:val="en-US" w:eastAsia="zh-CN"/>
              </w:rPr>
            </w:pPr>
            <w:r>
              <w:rPr>
                <w:rFonts w:hint="default" w:cs="Times New Roman"/>
                <w:sz w:val="18"/>
                <w:szCs w:val="18"/>
                <w:lang w:val="en-US" w:eastAsia="zh-CN"/>
              </w:rPr>
              <w:t>* 主要管控措施：第一，关注客户信用状况，明确销售定价、结算方式、权利与义务条款等相关内容；第二，确定具体的审核、审批程序和所涉及的部门人员及相应权责；第三，签订正式销售合同。</w:t>
            </w:r>
          </w:p>
          <w:p>
            <w:pPr>
              <w:rPr>
                <w:rFonts w:hint="default" w:cs="Times New Roman"/>
                <w:sz w:val="18"/>
                <w:szCs w:val="18"/>
                <w:lang w:val="en-US" w:eastAsia="zh-CN"/>
              </w:rPr>
            </w:pPr>
            <w:r>
              <w:rPr>
                <w:rFonts w:hint="default" w:cs="Times New Roman"/>
                <w:sz w:val="18"/>
                <w:szCs w:val="18"/>
                <w:lang w:val="en-US" w:eastAsia="zh-CN"/>
              </w:rPr>
              <w:t>* 发货</w:t>
            </w:r>
          </w:p>
          <w:p>
            <w:pPr>
              <w:rPr>
                <w:rFonts w:hint="default" w:cs="Times New Roman"/>
                <w:sz w:val="18"/>
                <w:szCs w:val="18"/>
                <w:lang w:val="en-US" w:eastAsia="zh-CN"/>
              </w:rPr>
            </w:pPr>
            <w:r>
              <w:rPr>
                <w:rFonts w:hint="default" w:cs="Times New Roman"/>
                <w:sz w:val="18"/>
                <w:szCs w:val="18"/>
                <w:lang w:val="en-US" w:eastAsia="zh-CN"/>
              </w:rPr>
              <w:t>* 主要风险：未经授权发货或发货不符合合同约定，可能导致货物损失或客户与企业的销售争议、销售款项不能收回。</w:t>
            </w:r>
          </w:p>
          <w:p>
            <w:pPr>
              <w:rPr>
                <w:rFonts w:hint="default" w:cs="Times New Roman"/>
                <w:sz w:val="18"/>
                <w:szCs w:val="18"/>
                <w:lang w:val="en-US" w:eastAsia="zh-CN"/>
              </w:rPr>
            </w:pPr>
            <w:r>
              <w:rPr>
                <w:rFonts w:hint="default" w:cs="Times New Roman"/>
                <w:sz w:val="18"/>
                <w:szCs w:val="18"/>
                <w:lang w:val="en-US" w:eastAsia="zh-CN"/>
              </w:rPr>
              <w:t>* 主要管控措施：第一，销售部门应当按照经审核后的销售合同开具相关的销售通知交仓储部门和财会部门；第二，仓储部门应当落实出库、计量、运输等环节的岗位责任；第三，应当以运输合同或条款等形式明确运输所涉方面；第四，做好发货各环节的记录。</w:t>
            </w:r>
          </w:p>
          <w:p>
            <w:pPr>
              <w:rPr>
                <w:rFonts w:hint="default" w:cs="Times New Roman"/>
                <w:sz w:val="18"/>
                <w:szCs w:val="18"/>
                <w:lang w:val="en-US" w:eastAsia="zh-CN"/>
              </w:rPr>
            </w:pPr>
            <w:r>
              <w:rPr>
                <w:rFonts w:hint="default" w:cs="Times New Roman"/>
                <w:sz w:val="18"/>
                <w:szCs w:val="18"/>
                <w:lang w:val="en-US" w:eastAsia="zh-CN"/>
              </w:rPr>
              <w:t>* 收款</w:t>
            </w:r>
          </w:p>
          <w:p>
            <w:pPr>
              <w:rPr>
                <w:rFonts w:hint="default" w:cs="Times New Roman"/>
                <w:sz w:val="18"/>
                <w:szCs w:val="18"/>
                <w:lang w:val="en-US" w:eastAsia="zh-CN"/>
              </w:rPr>
            </w:pPr>
            <w:r>
              <w:rPr>
                <w:rFonts w:hint="default" w:cs="Times New Roman"/>
                <w:sz w:val="18"/>
                <w:szCs w:val="18"/>
                <w:lang w:val="en-US" w:eastAsia="zh-CN"/>
              </w:rPr>
              <w:t>* 主要风险：企业信用管理不到位，结算方式选择不当，票据管理不善，账款回收不力，导致销售款项不能收回或遭受欺诈；收款过程中存在舞弊，使企业经济利益受损。</w:t>
            </w:r>
          </w:p>
          <w:p>
            <w:pPr>
              <w:rPr>
                <w:rFonts w:hint="default" w:cs="Times New Roman"/>
                <w:sz w:val="18"/>
                <w:szCs w:val="18"/>
                <w:lang w:val="en-US" w:eastAsia="zh-CN"/>
              </w:rPr>
            </w:pPr>
            <w:r>
              <w:rPr>
                <w:rFonts w:hint="default" w:cs="Times New Roman"/>
                <w:sz w:val="18"/>
                <w:szCs w:val="18"/>
                <w:lang w:val="en-US" w:eastAsia="zh-CN"/>
              </w:rPr>
              <w:t>* 主要管控措施：第一，选择恰当的结算方式；第二，建立票据管理制度；第三，加强赊销管理；第四，加强代销业务款项的管理；第五，收取的现金、银行本票、汇票等应及时缴存银行并登记入账。</w:t>
            </w:r>
          </w:p>
          <w:p>
            <w:pPr>
              <w:rPr>
                <w:rFonts w:hint="default" w:cs="Times New Roman"/>
                <w:sz w:val="18"/>
                <w:szCs w:val="18"/>
                <w:lang w:val="en-US" w:eastAsia="zh-CN"/>
              </w:rPr>
            </w:pPr>
            <w:r>
              <w:rPr>
                <w:rFonts w:hint="default" w:cs="Times New Roman"/>
                <w:sz w:val="18"/>
                <w:szCs w:val="18"/>
                <w:lang w:val="en-US" w:eastAsia="zh-CN"/>
              </w:rPr>
              <w:t>* 客户服务</w:t>
            </w:r>
          </w:p>
          <w:p>
            <w:pPr>
              <w:rPr>
                <w:rFonts w:hint="eastAsia" w:cs="Times New Roman"/>
                <w:sz w:val="18"/>
                <w:szCs w:val="18"/>
                <w:lang w:val="en-US" w:eastAsia="zh-CN"/>
              </w:rPr>
            </w:pPr>
            <w:r>
              <w:rPr>
                <w:rFonts w:hint="default" w:cs="Times New Roman"/>
                <w:sz w:val="18"/>
                <w:szCs w:val="18"/>
                <w:lang w:val="en-US" w:eastAsia="zh-CN"/>
              </w:rPr>
              <w:t>* 主要风险：客户服务水平低，消费者满意度不足，影响公司品牌</w:t>
            </w:r>
            <w:r>
              <w:rPr>
                <w:rFonts w:hint="eastAsia" w:cs="Times New Roman"/>
                <w:sz w:val="18"/>
                <w:szCs w:val="18"/>
                <w:lang w:val="en-US" w:eastAsia="zh-CN"/>
              </w:rPr>
              <w:t>形象，造成客户流失；</w:t>
            </w:r>
          </w:p>
          <w:p>
            <w:pPr>
              <w:rPr>
                <w:rFonts w:hint="default" w:cs="Times New Roman"/>
                <w:sz w:val="18"/>
                <w:szCs w:val="18"/>
                <w:lang w:val="en-US" w:eastAsia="zh-CN"/>
              </w:rPr>
            </w:pPr>
            <w:r>
              <w:rPr>
                <w:rFonts w:hint="eastAsia" w:cs="Times New Roman"/>
                <w:sz w:val="18"/>
                <w:szCs w:val="18"/>
                <w:lang w:val="en-US" w:eastAsia="zh-CN"/>
              </w:rPr>
              <w:t>主要管控措施：建立和完善客户服务制度，设专人或部门进行客户服务和跟踪，建立产品质量管理制度，做好客户回访工作，加强销售退回控制。</w:t>
            </w:r>
          </w:p>
          <w:p>
            <w:pPr>
              <w:rPr>
                <w:rFonts w:hint="eastAsia" w:cs="Times New Roman"/>
                <w:sz w:val="18"/>
                <w:szCs w:val="18"/>
                <w:lang w:val="en-US" w:eastAsia="zh-CN"/>
              </w:rPr>
            </w:pPr>
          </w:p>
          <w:p>
            <w:pPr>
              <w:rPr>
                <w:rFonts w:hint="default" w:cs="Times New Roman"/>
                <w:sz w:val="18"/>
                <w:szCs w:val="18"/>
                <w:lang w:val="en-US" w:eastAsia="zh-CN"/>
              </w:rPr>
            </w:pPr>
            <w:r>
              <w:rPr>
                <w:rFonts w:hint="eastAsia" w:cs="Times New Roman"/>
                <w:sz w:val="18"/>
                <w:szCs w:val="18"/>
                <w:lang w:val="en-US" w:eastAsia="zh-CN"/>
              </w:rPr>
              <w:t>特殊过程为：销售过程。进行特殊过程确认。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2249" w:type="dxa"/>
            <w:gridSpan w:val="3"/>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7"/>
            <w:vAlign w:val="center"/>
          </w:tcPr>
          <w:p>
            <w:pPr>
              <w:rPr>
                <w:rFonts w:hint="eastAsia" w:cs="Times New Roman"/>
                <w:sz w:val="18"/>
                <w:szCs w:val="18"/>
                <w:lang w:val="en-US" w:eastAsia="zh-CN"/>
              </w:rPr>
            </w:pPr>
            <w:r>
              <w:rPr>
                <w:rFonts w:hint="eastAsia" w:cs="Times New Roman"/>
                <w:sz w:val="18"/>
                <w:szCs w:val="18"/>
                <w:lang w:val="en-US" w:eastAsia="zh-CN"/>
              </w:rPr>
              <w:t>固体废弃物排放；回收分类处理。</w:t>
            </w:r>
          </w:p>
          <w:p>
            <w:pPr>
              <w:rPr>
                <w:rFonts w:hint="default" w:cs="Times New Roman"/>
                <w:sz w:val="18"/>
                <w:szCs w:val="18"/>
                <w:lang w:val="en-US" w:eastAsia="zh-CN"/>
              </w:rPr>
            </w:pPr>
            <w:r>
              <w:rPr>
                <w:rFonts w:hint="eastAsia" w:cs="Times New Roman"/>
                <w:sz w:val="18"/>
                <w:szCs w:val="18"/>
                <w:lang w:val="en-US" w:eastAsia="zh-CN"/>
              </w:rPr>
              <w:t>火灾：运行控制、制定应急预案。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249" w:type="dxa"/>
            <w:gridSpan w:val="3"/>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7"/>
            <w:vAlign w:val="center"/>
          </w:tcPr>
          <w:p>
            <w:pPr>
              <w:rPr>
                <w:rFonts w:hint="default" w:cs="Times New Roman"/>
                <w:sz w:val="18"/>
                <w:szCs w:val="18"/>
                <w:lang w:val="en-US" w:eastAsia="zh-CN"/>
              </w:rPr>
            </w:pPr>
            <w:r>
              <w:rPr>
                <w:rFonts w:hint="eastAsia" w:cs="Times New Roman"/>
                <w:sz w:val="18"/>
                <w:szCs w:val="18"/>
                <w:lang w:val="en-US" w:eastAsia="zh-CN"/>
              </w:rPr>
              <w:t>1、出差途中交通事故；加强销售人员的安全意识、注意乘车安全。</w:t>
            </w:r>
          </w:p>
          <w:p>
            <w:pPr>
              <w:rPr>
                <w:rFonts w:hint="default" w:cs="Times New Roman"/>
                <w:sz w:val="18"/>
                <w:szCs w:val="18"/>
                <w:lang w:val="en-US" w:eastAsia="zh-CN"/>
              </w:rPr>
            </w:pPr>
            <w:r>
              <w:rPr>
                <w:rFonts w:hint="eastAsia" w:cs="Times New Roman"/>
                <w:sz w:val="18"/>
                <w:szCs w:val="18"/>
                <w:lang w:val="en-US" w:eastAsia="zh-CN"/>
              </w:rPr>
              <w:t>2、火灾：运行控制、制定应急预案。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2249" w:type="dxa"/>
            <w:gridSpan w:val="3"/>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7"/>
            <w:vAlign w:val="center"/>
          </w:tcPr>
          <w:p>
            <w:pPr>
              <w:rPr>
                <w:rFonts w:hint="eastAsia" w:cs="Times New Roman"/>
                <w:sz w:val="18"/>
                <w:szCs w:val="18"/>
                <w:lang w:val="en-US" w:eastAsia="zh-CN"/>
              </w:rPr>
            </w:pPr>
            <w:r>
              <w:rPr>
                <w:rFonts w:hint="eastAsia" w:cs="Times New Roman"/>
                <w:sz w:val="18"/>
                <w:szCs w:val="18"/>
                <w:lang w:val="en-US" w:eastAsia="zh-CN"/>
              </w:rPr>
              <w:t>《产品质量法》、《合同法》、《计量法》、《中华人民共和国消费者权益保护法》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2249" w:type="dxa"/>
            <w:gridSpan w:val="3"/>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7"/>
            <w:vAlign w:val="center"/>
          </w:tcPr>
          <w:p>
            <w:pPr>
              <w:rPr>
                <w:rFonts w:hint="default" w:cs="Times New Roman"/>
                <w:sz w:val="18"/>
                <w:szCs w:val="18"/>
                <w:lang w:val="en-US" w:eastAsia="zh-CN"/>
              </w:rPr>
            </w:pPr>
            <w:r>
              <w:rPr>
                <w:rFonts w:hint="eastAsia" w:cs="Times New Roman"/>
                <w:sz w:val="18"/>
                <w:szCs w:val="18"/>
                <w:lang w:val="en-US"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2249" w:type="dxa"/>
            <w:gridSpan w:val="3"/>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tcBorders>
              <w:bottom w:val="single" w:color="auto" w:sz="8" w:space="0"/>
            </w:tcBorders>
            <w:vAlign w:val="center"/>
          </w:tcPr>
          <w:p>
            <w:pPr>
              <w:snapToGrid w:val="0"/>
              <w:spacing w:line="280" w:lineRule="exact"/>
              <w:jc w:val="center"/>
              <w:rPr>
                <w:b/>
                <w:sz w:val="20"/>
              </w:rPr>
            </w:pPr>
          </w:p>
        </w:tc>
      </w:tr>
    </w:tbl>
    <w:p>
      <w:pPr>
        <w:snapToGrid w:val="0"/>
        <w:rPr>
          <w:rFonts w:hint="eastAsia" w:ascii="宋体"/>
          <w:b/>
          <w:sz w:val="22"/>
          <w:szCs w:val="22"/>
        </w:rPr>
      </w:pPr>
      <w:r>
        <w:drawing>
          <wp:anchor distT="0" distB="0" distL="114300" distR="114300" simplePos="0" relativeHeight="251749376" behindDoc="1" locked="0" layoutInCell="1" allowOverlap="1">
            <wp:simplePos x="0" y="0"/>
            <wp:positionH relativeFrom="column">
              <wp:posOffset>4260215</wp:posOffset>
            </wp:positionH>
            <wp:positionV relativeFrom="paragraph">
              <wp:posOffset>49530</wp:posOffset>
            </wp:positionV>
            <wp:extent cx="497840" cy="504190"/>
            <wp:effectExtent l="0" t="0" r="10160" b="3810"/>
            <wp:wrapTight wrapText="bothSides">
              <wp:wrapPolygon>
                <wp:start x="0" y="0"/>
                <wp:lineTo x="0" y="21219"/>
                <wp:lineTo x="20939" y="21219"/>
                <wp:lineTo x="20939"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lum contrast="84000"/>
                    </a:blip>
                    <a:stretch>
                      <a:fillRect/>
                    </a:stretch>
                  </pic:blipFill>
                  <pic:spPr>
                    <a:xfrm>
                      <a:off x="0" y="0"/>
                      <a:ext cx="497840" cy="504190"/>
                    </a:xfrm>
                    <a:prstGeom prst="rect">
                      <a:avLst/>
                    </a:prstGeom>
                    <a:solidFill>
                      <a:srgbClr val="9BBB59">
                        <a:alpha val="56000"/>
                      </a:srgbClr>
                    </a:solidFill>
                    <a:ln>
                      <a:noFill/>
                    </a:ln>
                    <a:effectLst>
                      <a:outerShdw algn="ctr" rotWithShape="0">
                        <a:srgbClr val="808080"/>
                      </a:outerShdw>
                    </a:effectLst>
                  </pic:spPr>
                </pic:pic>
              </a:graphicData>
            </a:graphic>
          </wp:anchor>
        </w:drawing>
      </w:r>
      <w:r>
        <w:drawing>
          <wp:anchor distT="0" distB="0" distL="114300" distR="114300" simplePos="0" relativeHeight="251703296" behindDoc="1" locked="0" layoutInCell="1" allowOverlap="1">
            <wp:simplePos x="0" y="0"/>
            <wp:positionH relativeFrom="column">
              <wp:posOffset>1343660</wp:posOffset>
            </wp:positionH>
            <wp:positionV relativeFrom="paragraph">
              <wp:posOffset>9525</wp:posOffset>
            </wp:positionV>
            <wp:extent cx="497840" cy="504190"/>
            <wp:effectExtent l="0" t="0" r="10160" b="3810"/>
            <wp:wrapTight wrapText="bothSides">
              <wp:wrapPolygon>
                <wp:start x="0" y="0"/>
                <wp:lineTo x="0" y="21219"/>
                <wp:lineTo x="20939" y="21219"/>
                <wp:lineTo x="20939"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lum contrast="84000"/>
                    </a:blip>
                    <a:stretch>
                      <a:fillRect/>
                    </a:stretch>
                  </pic:blipFill>
                  <pic:spPr>
                    <a:xfrm>
                      <a:off x="0" y="0"/>
                      <a:ext cx="497840"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p>
      <w:pPr>
        <w:snapToGrid w:val="0"/>
        <w:rPr>
          <w:rFonts w:ascii="宋体"/>
          <w:b/>
          <w:sz w:val="22"/>
          <w:szCs w:val="22"/>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ascii="宋体"/>
          <w:b/>
          <w:sz w:val="18"/>
          <w:szCs w:val="18"/>
        </w:rPr>
        <w:t xml:space="preserve">           </w:t>
      </w:r>
      <w:r>
        <w:rPr>
          <w:rFonts w:hint="eastAsia"/>
          <w:b/>
          <w:sz w:val="22"/>
          <w:szCs w:val="22"/>
        </w:rPr>
        <w:t>日期</w:t>
      </w:r>
      <w:r>
        <w:rPr>
          <w:rFonts w:hint="eastAsia"/>
          <w:b/>
          <w:sz w:val="18"/>
          <w:szCs w:val="18"/>
        </w:rPr>
        <w:t>：</w:t>
      </w:r>
      <w:r>
        <w:rPr>
          <w:rFonts w:ascii="宋体"/>
          <w:b/>
          <w:sz w:val="22"/>
          <w:szCs w:val="22"/>
        </w:rPr>
        <w:t xml:space="preserve">  </w:t>
      </w:r>
      <w:r>
        <w:rPr>
          <w:rFonts w:hint="eastAsia" w:ascii="宋体"/>
          <w:b/>
          <w:sz w:val="22"/>
          <w:szCs w:val="22"/>
          <w:lang w:val="en-US" w:eastAsia="zh-CN"/>
        </w:rPr>
        <w:t>2020.10.17</w:t>
      </w:r>
      <w:r>
        <w:rPr>
          <w:rFonts w:ascii="宋体"/>
          <w:b/>
          <w:sz w:val="22"/>
          <w:szCs w:val="22"/>
        </w:rPr>
        <w:t xml:space="preserve">   </w:t>
      </w:r>
      <w:r>
        <w:rPr>
          <w:rFonts w:hint="eastAsia" w:ascii="宋体"/>
          <w:b/>
          <w:sz w:val="22"/>
          <w:szCs w:val="22"/>
        </w:rPr>
        <w:t>审核组长</w:t>
      </w:r>
      <w:r>
        <w:rPr>
          <w:rFonts w:hint="eastAsia" w:ascii="宋体"/>
          <w:b/>
          <w:sz w:val="18"/>
          <w:szCs w:val="18"/>
        </w:rPr>
        <w:t>：</w:t>
      </w:r>
      <w:r>
        <w:rPr>
          <w:rFonts w:ascii="宋体"/>
          <w:b/>
          <w:sz w:val="18"/>
          <w:szCs w:val="18"/>
        </w:rPr>
        <w:t xml:space="preserve">                </w:t>
      </w:r>
      <w:r>
        <w:rPr>
          <w:rFonts w:hint="eastAsia"/>
          <w:b/>
          <w:sz w:val="22"/>
          <w:szCs w:val="22"/>
        </w:rPr>
        <w:t>日期</w:t>
      </w:r>
      <w:r>
        <w:rPr>
          <w:rFonts w:hint="eastAsia"/>
          <w:b/>
          <w:sz w:val="18"/>
          <w:szCs w:val="18"/>
        </w:rPr>
        <w:t>：</w:t>
      </w:r>
      <w:r>
        <w:rPr>
          <w:rFonts w:hint="eastAsia" w:ascii="宋体"/>
          <w:b/>
          <w:sz w:val="22"/>
          <w:szCs w:val="22"/>
          <w:lang w:val="en-US" w:eastAsia="zh-CN"/>
        </w:rPr>
        <w:t>2020.10.17</w:t>
      </w:r>
      <w:r>
        <w:rPr>
          <w:rFonts w:ascii="宋体"/>
          <w:b/>
          <w:sz w:val="22"/>
          <w:szCs w:val="22"/>
        </w:rPr>
        <w:t xml:space="preserve"> </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bookmarkStart w:id="5" w:name="_GoBack"/>
      <w:bookmarkEnd w:id="5"/>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文本框 1" o:spid="_x0000_s4098"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6</w:t>
                </w:r>
                <w:r>
                  <w:rPr>
                    <w:rFonts w:hint="eastAsia"/>
                    <w:sz w:val="18"/>
                    <w:szCs w:val="18"/>
                  </w:rPr>
                  <w:t xml:space="preserve"> 专业培训记录(03版)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38511A"/>
    <w:rsid w:val="1C0A5D96"/>
    <w:rsid w:val="616C0120"/>
    <w:rsid w:val="64376507"/>
    <w:rsid w:val="7CC823C5"/>
    <w:rsid w:val="7FD56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character" w:customStyle="1" w:styleId="8">
    <w:name w:val="页脚 字符"/>
    <w:link w:val="3"/>
    <w:qFormat/>
    <w:locked/>
    <w:uiPriority w:val="99"/>
    <w:rPr>
      <w:rFonts w:ascii="Times New Roman" w:hAnsi="Times New Roman" w:eastAsia="宋体" w:cs="Times New Roman"/>
      <w:sz w:val="18"/>
      <w:szCs w:val="18"/>
    </w:rPr>
  </w:style>
  <w:style w:type="character" w:customStyle="1" w:styleId="9">
    <w:name w:val="页眉 字符"/>
    <w:link w:val="4"/>
    <w:qFormat/>
    <w:locked/>
    <w:uiPriority w:val="99"/>
    <w:rPr>
      <w:rFonts w:ascii="Times New Roman" w:hAnsi="Times New Roman" w:eastAsia="宋体" w:cs="Times New Roman"/>
      <w:sz w:val="18"/>
      <w:szCs w:val="18"/>
    </w:rPr>
  </w:style>
  <w:style w:type="character" w:customStyle="1" w:styleId="10">
    <w:name w:val="批注框文本 字符"/>
    <w:link w:val="2"/>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Words>
  <Characters>267</Characters>
  <Lines>2</Lines>
  <Paragraphs>1</Paragraphs>
  <TotalTime>1</TotalTime>
  <ScaleCrop>false</ScaleCrop>
  <LinksUpToDate>false</LinksUpToDate>
  <CharactersWithSpaces>312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开门大吉～ISO认证服务</cp:lastModifiedBy>
  <dcterms:modified xsi:type="dcterms:W3CDTF">2020-10-18T02:07:55Z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