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四川曜晔纺织有限责任公司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20531-2025-QEO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2025年04月29日 上午至2025年04月30日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2025-04-29上午至2025-04-30下午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四川曜晔纺织有限责任公司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