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 xml:space="preserve">合同编号： </w:t>
      </w:r>
      <w:bookmarkStart w:id="0" w:name="合同编号"/>
      <w:r>
        <w:rPr>
          <w:rFonts w:hint="eastAsia" w:ascii="楷体" w:hAnsi="楷体" w:eastAsia="楷体"/>
          <w:color w:val="000000"/>
          <w:sz w:val="28"/>
          <w:szCs w:val="28"/>
        </w:rPr>
        <w:t>0370-2020-Q</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w:t>
      </w:r>
      <w:r>
        <w:rPr>
          <w:rFonts w:hint="eastAsia" w:ascii="楷体" w:hAnsi="楷体" w:eastAsia="楷体"/>
          <w:b/>
          <w:color w:val="000000"/>
          <w:sz w:val="52"/>
          <w:szCs w:val="52"/>
          <w:lang w:val="en-US" w:eastAsia="zh-CN"/>
        </w:rPr>
        <w:t>远程</w:t>
      </w:r>
      <w:r>
        <w:rPr>
          <w:rFonts w:hint="eastAsia" w:ascii="楷体" w:hAnsi="楷体" w:eastAsia="楷体"/>
          <w:b/>
          <w:color w:val="000000"/>
          <w:sz w:val="52"/>
          <w:szCs w:val="52"/>
        </w:rPr>
        <w:t>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南京申瑞电气系统控制有限公司</w:t>
      </w:r>
      <w:bookmarkEnd w:id="1"/>
    </w:p>
    <w:p>
      <w:pPr>
        <w:snapToGrid w:val="0"/>
        <w:spacing w:after="93" w:afterLines="30"/>
        <w:ind w:firstLine="1928" w:firstLineChars="6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sym w:font="Wingdings 2" w:char="0052"/>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417"/>
        <w:gridCol w:w="114"/>
        <w:gridCol w:w="1021"/>
        <w:gridCol w:w="1436"/>
        <w:gridCol w:w="815"/>
        <w:gridCol w:w="16"/>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themeColor="text1"/>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themeColor="text1"/>
                <w:sz w:val="20"/>
                <w:szCs w:val="20"/>
              </w:rPr>
              <w:t>审核方地址</w:t>
            </w:r>
          </w:p>
        </w:tc>
        <w:tc>
          <w:tcPr>
            <w:tcW w:w="5486"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725"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themeColor="text1"/>
                <w:sz w:val="20"/>
                <w:szCs w:val="20"/>
              </w:rPr>
              <w:t>联系电话</w:t>
            </w:r>
          </w:p>
        </w:tc>
        <w:tc>
          <w:tcPr>
            <w:tcW w:w="2214" w:type="dxa"/>
            <w:gridSpan w:val="3"/>
            <w:vAlign w:val="center"/>
          </w:tcPr>
          <w:p>
            <w:pPr>
              <w:rPr>
                <w:b/>
                <w:color w:val="000000"/>
                <w:sz w:val="20"/>
                <w:szCs w:val="20"/>
              </w:rPr>
            </w:pPr>
            <w:r>
              <w:rPr>
                <w:rFonts w:hint="eastAsia"/>
                <w:b/>
                <w:color w:val="000000" w:themeColor="text1"/>
                <w:sz w:val="20"/>
                <w:szCs w:val="20"/>
              </w:rPr>
              <w:t>010-51095332</w:t>
            </w:r>
          </w:p>
        </w:tc>
        <w:tc>
          <w:tcPr>
            <w:tcW w:w="1021" w:type="dxa"/>
            <w:vAlign w:val="center"/>
          </w:tcPr>
          <w:p>
            <w:pPr>
              <w:rPr>
                <w:b/>
                <w:color w:val="000000"/>
                <w:sz w:val="20"/>
                <w:szCs w:val="20"/>
              </w:rPr>
            </w:pPr>
            <w:r>
              <w:rPr>
                <w:rFonts w:hint="eastAsia"/>
                <w:b/>
                <w:color w:val="000000" w:themeColor="text1"/>
                <w:sz w:val="20"/>
                <w:szCs w:val="20"/>
              </w:rPr>
              <w:t>传真</w:t>
            </w:r>
          </w:p>
        </w:tc>
        <w:tc>
          <w:tcPr>
            <w:tcW w:w="1436" w:type="dxa"/>
            <w:vAlign w:val="center"/>
          </w:tcPr>
          <w:p>
            <w:pPr>
              <w:rPr>
                <w:b/>
                <w:color w:val="000000"/>
                <w:sz w:val="20"/>
                <w:szCs w:val="20"/>
              </w:rPr>
            </w:pPr>
            <w:r>
              <w:rPr>
                <w:b/>
                <w:color w:val="000000" w:themeColor="text1"/>
                <w:sz w:val="20"/>
                <w:szCs w:val="20"/>
              </w:rPr>
              <w:t>010-5351 6258</w:t>
            </w:r>
          </w:p>
        </w:tc>
        <w:tc>
          <w:tcPr>
            <w:tcW w:w="815" w:type="dxa"/>
            <w:vAlign w:val="center"/>
          </w:tcPr>
          <w:p>
            <w:pPr>
              <w:rPr>
                <w:b/>
                <w:color w:val="000000"/>
                <w:sz w:val="20"/>
                <w:szCs w:val="20"/>
              </w:rPr>
            </w:pPr>
            <w:r>
              <w:rPr>
                <w:rFonts w:hint="eastAsia"/>
                <w:b/>
                <w:color w:val="000000" w:themeColor="text1"/>
                <w:sz w:val="20"/>
                <w:szCs w:val="20"/>
              </w:rPr>
              <w:t>邮箱</w:t>
            </w:r>
          </w:p>
        </w:tc>
        <w:tc>
          <w:tcPr>
            <w:tcW w:w="2195"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r>
              <w:rPr>
                <w:rFonts w:hint="eastAsia"/>
                <w:b/>
                <w:color w:val="000000"/>
                <w:sz w:val="20"/>
                <w:szCs w:val="20"/>
              </w:rPr>
              <w:t>朱晓丽</w:t>
            </w:r>
          </w:p>
        </w:tc>
        <w:tc>
          <w:tcPr>
            <w:tcW w:w="851" w:type="dxa"/>
            <w:gridSpan w:val="2"/>
            <w:vAlign w:val="center"/>
          </w:tcPr>
          <w:p>
            <w:pPr>
              <w:rPr>
                <w:b/>
                <w:color w:val="000000"/>
                <w:sz w:val="20"/>
                <w:szCs w:val="20"/>
              </w:rPr>
            </w:pPr>
            <w:r>
              <w:rPr>
                <w:rFonts w:hint="eastAsia"/>
                <w:b/>
                <w:color w:val="000000"/>
                <w:sz w:val="20"/>
                <w:szCs w:val="20"/>
              </w:rPr>
              <w:t>组长</w:t>
            </w:r>
          </w:p>
        </w:tc>
        <w:tc>
          <w:tcPr>
            <w:tcW w:w="1417" w:type="dxa"/>
            <w:vAlign w:val="center"/>
          </w:tcPr>
          <w:p>
            <w:pPr>
              <w:rPr>
                <w:b/>
                <w:color w:val="000000"/>
                <w:sz w:val="20"/>
                <w:szCs w:val="20"/>
              </w:rPr>
            </w:pPr>
            <w:r>
              <w:rPr>
                <w:rFonts w:hint="eastAsia"/>
                <w:b/>
                <w:color w:val="000000"/>
                <w:sz w:val="20"/>
                <w:szCs w:val="20"/>
              </w:rPr>
              <w:t>女</w:t>
            </w:r>
          </w:p>
        </w:tc>
        <w:tc>
          <w:tcPr>
            <w:tcW w:w="3402" w:type="dxa"/>
            <w:gridSpan w:val="5"/>
            <w:vAlign w:val="center"/>
          </w:tcPr>
          <w:p>
            <w:pPr>
              <w:rPr>
                <w:b/>
                <w:color w:val="000000"/>
                <w:sz w:val="20"/>
                <w:szCs w:val="20"/>
              </w:rPr>
            </w:pPr>
            <w:r>
              <w:rPr>
                <w:b/>
                <w:color w:val="000000"/>
                <w:sz w:val="20"/>
                <w:szCs w:val="20"/>
              </w:rPr>
              <w:t>2018-N1QMS-2205805</w:t>
            </w:r>
          </w:p>
        </w:tc>
        <w:tc>
          <w:tcPr>
            <w:tcW w:w="2179" w:type="dxa"/>
            <w:gridSpan w:val="2"/>
            <w:vAlign w:val="center"/>
          </w:tcPr>
          <w:p>
            <w:pPr>
              <w:rPr>
                <w:rFonts w:hint="eastAsia"/>
                <w:b/>
                <w:color w:val="000000"/>
                <w:sz w:val="20"/>
                <w:szCs w:val="20"/>
              </w:rPr>
            </w:pPr>
            <w:r>
              <w:rPr>
                <w:rFonts w:hint="eastAsia"/>
                <w:b/>
                <w:color w:val="000000"/>
                <w:sz w:val="20"/>
                <w:szCs w:val="20"/>
              </w:rPr>
              <w:t>18.05.07,33.02.01,</w:t>
            </w:r>
          </w:p>
          <w:p>
            <w:pPr>
              <w:rPr>
                <w:b/>
                <w:color w:val="000000"/>
                <w:sz w:val="20"/>
                <w:szCs w:val="20"/>
              </w:rPr>
            </w:pPr>
            <w:r>
              <w:rPr>
                <w:rFonts w:hint="eastAsia"/>
                <w:b/>
                <w:color w:val="000000"/>
                <w:sz w:val="20"/>
                <w:szCs w:val="20"/>
              </w:rPr>
              <w:t>33.02.02,34.06.00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rPr>
                <w:b/>
                <w:color w:val="000000"/>
                <w:sz w:val="20"/>
                <w:szCs w:val="20"/>
              </w:rPr>
            </w:pPr>
            <w:r>
              <w:rPr>
                <w:rFonts w:hint="eastAsia"/>
                <w:b/>
                <w:color w:val="000000"/>
                <w:sz w:val="20"/>
                <w:szCs w:val="20"/>
              </w:rPr>
              <w:t>王旭</w:t>
            </w:r>
          </w:p>
        </w:tc>
        <w:tc>
          <w:tcPr>
            <w:tcW w:w="851" w:type="dxa"/>
            <w:gridSpan w:val="2"/>
            <w:vAlign w:val="center"/>
          </w:tcPr>
          <w:p>
            <w:pPr>
              <w:rPr>
                <w:rFonts w:hint="eastAsia" w:eastAsia="宋体"/>
                <w:b/>
                <w:color w:val="000000"/>
                <w:sz w:val="20"/>
                <w:szCs w:val="20"/>
                <w:lang w:val="en-US" w:eastAsia="zh-CN"/>
              </w:rPr>
            </w:pPr>
            <w:r>
              <w:rPr>
                <w:rFonts w:hint="eastAsia"/>
                <w:b/>
                <w:color w:val="000000"/>
                <w:sz w:val="20"/>
                <w:szCs w:val="20"/>
                <w:lang w:val="en-US" w:eastAsia="zh-CN"/>
              </w:rPr>
              <w:t>组员</w:t>
            </w:r>
          </w:p>
        </w:tc>
        <w:tc>
          <w:tcPr>
            <w:tcW w:w="1417" w:type="dxa"/>
            <w:vAlign w:val="center"/>
          </w:tcPr>
          <w:p>
            <w:pPr>
              <w:rPr>
                <w:rFonts w:hint="eastAsia" w:eastAsia="宋体"/>
                <w:b/>
                <w:color w:val="000000"/>
                <w:sz w:val="20"/>
                <w:szCs w:val="20"/>
                <w:lang w:val="en-US" w:eastAsia="zh-CN"/>
              </w:rPr>
            </w:pPr>
            <w:r>
              <w:rPr>
                <w:rFonts w:hint="eastAsia"/>
                <w:b/>
                <w:color w:val="000000"/>
                <w:sz w:val="20"/>
                <w:szCs w:val="20"/>
                <w:lang w:val="en-US" w:eastAsia="zh-CN"/>
              </w:rPr>
              <w:t>女</w:t>
            </w:r>
          </w:p>
        </w:tc>
        <w:tc>
          <w:tcPr>
            <w:tcW w:w="3402" w:type="dxa"/>
            <w:gridSpan w:val="5"/>
            <w:vAlign w:val="center"/>
          </w:tcPr>
          <w:p>
            <w:pPr>
              <w:rPr>
                <w:b/>
                <w:color w:val="000000"/>
                <w:sz w:val="20"/>
                <w:szCs w:val="20"/>
              </w:rPr>
            </w:pPr>
            <w:r>
              <w:rPr>
                <w:b/>
                <w:color w:val="000000"/>
                <w:sz w:val="20"/>
                <w:szCs w:val="20"/>
              </w:rPr>
              <w:t>ISC-242093</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2" w:char="0052"/>
      </w:r>
      <w:r>
        <w:rPr>
          <w:rFonts w:ascii="宋体" w:hAnsi="宋体"/>
          <w:b/>
          <w:color w:val="000000"/>
          <w:sz w:val="20"/>
          <w:szCs w:val="20"/>
        </w:rPr>
        <w:t>QMS/</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b/>
          <w:color w:val="000000"/>
          <w:sz w:val="20"/>
          <w:szCs w:val="20"/>
          <w:lang w:val="de-DE"/>
        </w:rPr>
        <w:sym w:font="Wingdings 2" w:char="0052"/>
      </w:r>
      <w:r>
        <w:rPr>
          <w:rFonts w:ascii="宋体" w:hAnsi="宋体"/>
          <w:b/>
          <w:color w:val="000000"/>
          <w:sz w:val="20"/>
          <w:szCs w:val="20"/>
          <w:lang w:val="de-DE"/>
        </w:rPr>
        <w:t xml:space="preserve">GB/T19001-2016    </w:t>
      </w:r>
      <w:r>
        <w:rPr>
          <w:rFonts w:hint="eastAsia" w:ascii="宋体" w:hAnsi="宋体"/>
          <w:b/>
          <w:color w:val="000000"/>
          <w:sz w:val="20"/>
          <w:szCs w:val="20"/>
          <w:lang w:val="de-DE"/>
        </w:rPr>
        <w:t>□</w:t>
      </w:r>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F0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程序文件第A/0版。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345"/>
        <w:gridCol w:w="107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r>
              <w:rPr>
                <w:rFonts w:ascii="宋体"/>
                <w:b/>
                <w:color w:val="000000"/>
                <w:sz w:val="20"/>
                <w:szCs w:val="20"/>
              </w:rPr>
              <w:t>南京申瑞电气系统控制有限公司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857" w:type="dxa"/>
            <w:gridSpan w:val="3"/>
          </w:tcPr>
          <w:p>
            <w:pPr>
              <w:spacing w:line="280" w:lineRule="exact"/>
              <w:rPr>
                <w:rFonts w:ascii="宋体"/>
                <w:b/>
                <w:color w:val="000000"/>
                <w:sz w:val="20"/>
                <w:szCs w:val="20"/>
              </w:rPr>
            </w:pPr>
            <w:bookmarkStart w:id="2" w:name="注册地址"/>
            <w:r>
              <w:rPr>
                <w:rFonts w:ascii="宋体"/>
                <w:b/>
                <w:color w:val="000000"/>
                <w:sz w:val="20"/>
                <w:szCs w:val="20"/>
              </w:rPr>
              <w:t>南京市江宁区福英路1001号联东U谷2号楼（江宁高新园）</w:t>
            </w:r>
            <w:bookmarkEnd w:id="2"/>
          </w:p>
        </w:tc>
        <w:tc>
          <w:tcPr>
            <w:tcW w:w="1077"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857" w:type="dxa"/>
            <w:gridSpan w:val="3"/>
          </w:tcPr>
          <w:p>
            <w:pPr>
              <w:spacing w:line="280" w:lineRule="exact"/>
              <w:rPr>
                <w:rFonts w:ascii="宋体"/>
                <w:b/>
                <w:color w:val="000000"/>
                <w:sz w:val="20"/>
                <w:szCs w:val="20"/>
              </w:rPr>
            </w:pPr>
            <w:r>
              <w:rPr>
                <w:rFonts w:ascii="宋体"/>
                <w:b/>
                <w:color w:val="000000"/>
                <w:sz w:val="20"/>
                <w:szCs w:val="20"/>
              </w:rPr>
              <w:t>南京市江宁区福英路1001号联东U谷2号楼（江宁高新园）</w:t>
            </w:r>
          </w:p>
        </w:tc>
        <w:tc>
          <w:tcPr>
            <w:tcW w:w="1077"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3" w:name="联系人"/>
            <w:r>
              <w:rPr>
                <w:rFonts w:ascii="宋体"/>
                <w:b/>
                <w:color w:val="000000"/>
                <w:sz w:val="20"/>
                <w:szCs w:val="20"/>
              </w:rPr>
              <w:t>张小民</w:t>
            </w:r>
            <w:bookmarkEnd w:id="3"/>
          </w:p>
        </w:tc>
        <w:tc>
          <w:tcPr>
            <w:tcW w:w="1463" w:type="dxa"/>
            <w:vAlign w:val="center"/>
          </w:tcPr>
          <w:p>
            <w:pPr>
              <w:spacing w:line="280" w:lineRule="exact"/>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345" w:type="dxa"/>
            <w:vAlign w:val="center"/>
          </w:tcPr>
          <w:p>
            <w:pPr>
              <w:spacing w:line="280" w:lineRule="exact"/>
              <w:rPr>
                <w:rFonts w:ascii="宋体"/>
                <w:b/>
                <w:color w:val="000000"/>
                <w:sz w:val="20"/>
                <w:szCs w:val="20"/>
              </w:rPr>
            </w:pPr>
            <w:r>
              <w:rPr>
                <w:rFonts w:ascii="宋体"/>
                <w:b/>
                <w:color w:val="000000"/>
                <w:sz w:val="20"/>
                <w:szCs w:val="20"/>
              </w:rPr>
              <w:t xml:space="preserve"> 13913918482 </w:t>
            </w:r>
          </w:p>
        </w:tc>
        <w:tc>
          <w:tcPr>
            <w:tcW w:w="1077"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4" w:name="法人"/>
            <w:r>
              <w:rPr>
                <w:rFonts w:ascii="宋体"/>
                <w:b/>
                <w:color w:val="000000"/>
                <w:sz w:val="20"/>
                <w:szCs w:val="20"/>
              </w:rPr>
              <w:t>王丹</w:t>
            </w:r>
            <w:bookmarkEnd w:id="4"/>
          </w:p>
        </w:tc>
        <w:tc>
          <w:tcPr>
            <w:tcW w:w="1463" w:type="dxa"/>
            <w:vAlign w:val="center"/>
          </w:tcPr>
          <w:p>
            <w:pPr>
              <w:rPr>
                <w:rFonts w:ascii="宋体"/>
                <w:b/>
                <w:color w:val="000000"/>
                <w:sz w:val="20"/>
                <w:szCs w:val="20"/>
              </w:rPr>
            </w:pPr>
            <w:r>
              <w:rPr>
                <w:rFonts w:hint="eastAsia" w:ascii="宋体" w:hAnsi="宋体"/>
                <w:b/>
                <w:color w:val="000000"/>
                <w:sz w:val="20"/>
                <w:szCs w:val="20"/>
              </w:rPr>
              <w:t>管理者代表</w:t>
            </w:r>
          </w:p>
        </w:tc>
        <w:tc>
          <w:tcPr>
            <w:tcW w:w="2345" w:type="dxa"/>
          </w:tcPr>
          <w:p>
            <w:pPr>
              <w:rPr>
                <w:rFonts w:ascii="宋体"/>
                <w:b/>
                <w:color w:val="000000"/>
                <w:sz w:val="20"/>
                <w:szCs w:val="20"/>
              </w:rPr>
            </w:pPr>
            <w:r>
              <w:rPr>
                <w:rFonts w:ascii="宋体"/>
                <w:b/>
                <w:color w:val="000000"/>
                <w:sz w:val="20"/>
                <w:szCs w:val="20"/>
              </w:rPr>
              <w:t>张小民</w:t>
            </w:r>
          </w:p>
        </w:tc>
        <w:tc>
          <w:tcPr>
            <w:tcW w:w="1077"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eastAsia" w:ascii="宋体" w:eastAsia="宋体"/>
                <w:b/>
                <w:color w:val="000000"/>
                <w:sz w:val="20"/>
                <w:szCs w:val="20"/>
                <w:lang w:val="en-US" w:eastAsia="zh-CN"/>
              </w:rPr>
            </w:pPr>
            <w:r>
              <w:rPr>
                <w:rFonts w:ascii="宋体"/>
                <w:b/>
                <w:color w:val="000000"/>
                <w:sz w:val="20"/>
                <w:szCs w:val="20"/>
              </w:rPr>
              <w:t>2017</w:t>
            </w:r>
            <w:r>
              <w:rPr>
                <w:rFonts w:hint="eastAsia" w:ascii="宋体"/>
                <w:b/>
                <w:color w:val="000000"/>
                <w:sz w:val="20"/>
                <w:szCs w:val="20"/>
                <w:lang w:val="en-US" w:eastAsia="zh-CN"/>
              </w:rPr>
              <w:t>年</w:t>
            </w:r>
            <w:r>
              <w:rPr>
                <w:rFonts w:ascii="宋体"/>
                <w:b/>
                <w:color w:val="000000"/>
                <w:sz w:val="20"/>
                <w:szCs w:val="20"/>
              </w:rPr>
              <w:t>3</w:t>
            </w:r>
            <w:r>
              <w:rPr>
                <w:rFonts w:hint="eastAsia" w:ascii="宋体"/>
                <w:b/>
                <w:color w:val="000000"/>
                <w:sz w:val="20"/>
                <w:szCs w:val="20"/>
                <w:lang w:val="en-US" w:eastAsia="zh-CN"/>
              </w:rPr>
              <w:t>月</w:t>
            </w:r>
            <w:r>
              <w:rPr>
                <w:rFonts w:ascii="宋体"/>
                <w:b/>
                <w:color w:val="000000"/>
                <w:sz w:val="20"/>
                <w:szCs w:val="20"/>
              </w:rPr>
              <w:t>8</w:t>
            </w:r>
            <w:r>
              <w:rPr>
                <w:rFonts w:hint="eastAsia" w:ascii="宋体"/>
                <w:b/>
                <w:color w:val="000000"/>
                <w:sz w:val="20"/>
                <w:szCs w:val="20"/>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rPr>
                <w:rFonts w:ascii="宋体"/>
                <w:b/>
                <w:color w:val="000000"/>
                <w:sz w:val="20"/>
                <w:szCs w:val="20"/>
                <w:u w:val="single"/>
              </w:rPr>
            </w:pPr>
            <w:bookmarkStart w:id="5" w:name="审核范围"/>
            <w:r>
              <w:rPr>
                <w:rFonts w:hint="eastAsia" w:ascii="宋体"/>
                <w:b/>
                <w:color w:val="000000"/>
                <w:sz w:val="20"/>
                <w:szCs w:val="20"/>
                <w:u w:val="single"/>
              </w:rPr>
              <w:t>系统集成服务，应用软件的开发服务，GER系列自动化控制设备的开发、生产、技术服务</w:t>
            </w:r>
            <w:bookmarkEnd w:id="5"/>
            <w:r>
              <w:rPr>
                <w:rFonts w:hint="eastAsia" w:ascii="宋体"/>
                <w:b/>
                <w:color w:val="000000"/>
                <w:sz w:val="20"/>
                <w:szCs w:val="2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6" w:name="专业代码"/>
            <w:r>
              <w:rPr>
                <w:rFonts w:hint="eastAsia" w:ascii="宋体"/>
                <w:b/>
                <w:color w:val="000000"/>
                <w:sz w:val="20"/>
                <w:szCs w:val="20"/>
              </w:rPr>
              <w:t>18.05.07;33.02.01;33.02.02;34.06.00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名称、地址（可附多场所清单）无</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rPr>
              <w:t xml:space="preserve"> 无</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85" w:firstLineChars="148"/>
        <w:rPr>
          <w:rFonts w:ascii="宋体"/>
          <w:b/>
          <w:color w:val="000000"/>
          <w:sz w:val="20"/>
          <w:szCs w:val="20"/>
        </w:rPr>
      </w:pPr>
      <w:r>
        <w:rPr>
          <w:rFonts w:hint="eastAsia" w:ascii="宋体" w:hAnsi="宋体"/>
          <w:b/>
          <w:color w:val="000000"/>
          <w:spacing w:val="-4"/>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远程视频进行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本次评审的文件只有：企业资质、质量手册、程序文件、管理文件、内审、管理评审等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一阶段远程审核巡视了以下部门和场所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部门：管理层、</w:t>
      </w:r>
      <w:r>
        <w:rPr>
          <w:rFonts w:hint="eastAsia" w:ascii="宋体" w:hAnsi="宋体"/>
          <w:b/>
          <w:color w:val="000000"/>
          <w:sz w:val="20"/>
          <w:szCs w:val="20"/>
          <w:lang w:val="en-US" w:eastAsia="zh-CN"/>
        </w:rPr>
        <w:t>行政部、生产工程部、质量管理部、技术开发部、市场营销部</w:t>
      </w:r>
    </w:p>
    <w:p>
      <w:pPr>
        <w:spacing w:line="300" w:lineRule="auto"/>
        <w:ind w:firstLine="269" w:firstLineChars="134"/>
        <w:rPr>
          <w:rFonts w:hint="eastAsia" w:ascii="宋体" w:hAnsi="宋体"/>
          <w:b/>
          <w:color w:val="000000"/>
          <w:sz w:val="20"/>
          <w:szCs w:val="20"/>
        </w:rPr>
      </w:pPr>
      <w:r>
        <w:rPr>
          <w:rFonts w:hint="eastAsia" w:ascii="宋体" w:hAnsi="宋体"/>
          <w:b/>
          <w:color w:val="000000"/>
          <w:sz w:val="20"/>
          <w:szCs w:val="20"/>
        </w:rPr>
        <w:t>场所：</w:t>
      </w:r>
      <w:bookmarkStart w:id="7" w:name="生产地址"/>
      <w:r>
        <w:rPr>
          <w:rFonts w:hint="eastAsia" w:ascii="宋体" w:hAnsi="宋体"/>
          <w:b/>
          <w:color w:val="000000"/>
          <w:sz w:val="20"/>
          <w:szCs w:val="20"/>
        </w:rPr>
        <w:t>南京市江宁区福英路1001号联东U谷2号楼（江宁高新园）</w:t>
      </w:r>
      <w:bookmarkEnd w:id="7"/>
    </w:p>
    <w:p>
      <w:pPr>
        <w:spacing w:line="300" w:lineRule="auto"/>
        <w:ind w:firstLine="269" w:firstLineChars="134"/>
        <w:rPr>
          <w:rFonts w:hint="default" w:ascii="宋体" w:hAnsi="宋体" w:eastAsia="宋体"/>
          <w:b/>
          <w:color w:val="000000"/>
          <w:sz w:val="20"/>
          <w:szCs w:val="20"/>
          <w:lang w:val="en-US" w:eastAsia="zh-CN"/>
        </w:rPr>
      </w:pPr>
      <w:r>
        <w:rPr>
          <w:rFonts w:hint="eastAsia" w:ascii="宋体" w:hAnsi="宋体"/>
          <w:b/>
          <w:color w:val="000000"/>
          <w:sz w:val="20"/>
          <w:szCs w:val="20"/>
          <w:lang w:val="en-US" w:eastAsia="zh-CN"/>
        </w:rPr>
        <w:t>注册地址：南京市江宁区福英路1001号联东U谷2号楼（江宁高新园）</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一阶段远程审核发现的重要问题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 xml:space="preserve">产品：系统集成服务，应用软件的开发服务，GER系列自动化控制设备的开发、生产、技术服务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公司部门设置：管理层、</w:t>
            </w:r>
            <w:r>
              <w:rPr>
                <w:rFonts w:hint="eastAsia" w:ascii="宋体" w:hAnsi="宋体"/>
                <w:b/>
                <w:color w:val="000000"/>
                <w:sz w:val="20"/>
                <w:szCs w:val="20"/>
                <w:lang w:val="en-US" w:eastAsia="zh-CN"/>
              </w:rPr>
              <w:t>行政部、生产工程部、质量管理部、技术开发部、市场营销部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质量管理部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r>
              <w:rPr>
                <w:rFonts w:hint="eastAsia" w:ascii="宋体"/>
                <w:color w:val="000000"/>
                <w:sz w:val="20"/>
                <w:szCs w:val="20"/>
              </w:rPr>
              <w:t>不涉及</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color w:val="000000"/>
                <w:sz w:val="20"/>
                <w:szCs w:val="20"/>
              </w:rPr>
              <w:t>不涉及</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受审核方位于：南京市江宁区福英路1001号联东U谷2号楼（江宁高新园）</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sym w:font="Wingdings 2" w:char="00A3"/>
            </w:r>
            <w:r>
              <w:rPr>
                <w:rFonts w:hint="eastAsia" w:ascii="宋体" w:hAnsi="宋体"/>
                <w:color w:val="000000"/>
                <w:sz w:val="20"/>
                <w:szCs w:val="20"/>
              </w:rPr>
              <w:t>自建厂房</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租用办公用房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r>
              <w:rPr>
                <w:rFonts w:hint="eastAsia"/>
                <w:color w:val="000000"/>
                <w:szCs w:val="21"/>
                <w:lang w:val="en-US" w:eastAsia="zh-CN"/>
              </w:rPr>
              <w:t>计量器具型式批准证书：2006 F115-32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eastAsia="宋体"/>
                <w:color w:val="0000FF"/>
                <w:spacing w:val="-10"/>
                <w:sz w:val="20"/>
                <w:szCs w:val="20"/>
                <w:lang w:val="en-US" w:eastAsia="zh-CN"/>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产品技术标准号：GB 191-2000包装储运图示标志GB 16836-2003量度继电器和保护装置安全设计的一般要求GB/T 2887-2000电子计算机通用规范GB/T 9361－1988计算站场地安全要求GB/T 7261-2000继电器及继电保护装置基本试验方法GB/T 11287-2000电气继电器　第21部分：量度继电器和保护装置的振动、冲击、碰撞和地震试验   第一篇：振动试验(正弦)（idt IEC60255-21-1：1988）GB/T 14537-1993量度继电器和保护装置的冲击和碰撞试验（idt IEC60255-21-1：1988）GB/T 14598.9-2002电气继电器第22部分：量度继电器和保护装置的电气骚扰试验</w:t>
            </w:r>
            <w:r>
              <w:rPr>
                <w:rFonts w:hint="eastAsia" w:ascii="宋体" w:hAnsi="宋体"/>
                <w:color w:val="000000"/>
                <w:spacing w:val="-10"/>
                <w:sz w:val="20"/>
                <w:szCs w:val="20"/>
                <w:lang w:eastAsia="zh-CN"/>
              </w:rPr>
              <w:t>、GB/T20157-2006《信息技术 软件维护》GB/T20158-2006《信息技术 软件生存周期过程配置管理》GB/T8567-2006《计算机软件文档编制规范》GB/T9385-2008《计算机软件需求规格说明规范》GB/T 15532-2008　《计算机软件测试规范》GB/T9386-2008《计算机软件测试文档编制规范》GB/T28035-2011《软件系统验收规范》</w:t>
            </w:r>
            <w:r>
              <w:rPr>
                <w:rFonts w:hint="eastAsia" w:ascii="宋体" w:hAnsi="宋体"/>
                <w:color w:val="000000"/>
                <w:spacing w:val="-10"/>
                <w:sz w:val="20"/>
                <w:szCs w:val="20"/>
                <w:lang w:val="en-US" w:eastAsia="zh-CN"/>
              </w:rPr>
              <w:t>等等</w:t>
            </w:r>
          </w:p>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w:t>
            </w:r>
            <w:r>
              <w:rPr>
                <w:rFonts w:hint="eastAsia" w:ascii="宋体" w:hAnsi="宋体"/>
                <w:spacing w:val="-10"/>
                <w:sz w:val="20"/>
                <w:szCs w:val="20"/>
              </w:rPr>
              <w:t>有产品检验报告</w:t>
            </w:r>
            <w:r>
              <w:rPr>
                <w:rFonts w:hint="eastAsia" w:ascii="宋体" w:hAnsi="宋体"/>
                <w:spacing w:val="-10"/>
                <w:sz w:val="20"/>
                <w:szCs w:val="20"/>
              </w:rPr>
              <w:sym w:font="Wingdings 2" w:char="0052"/>
            </w:r>
            <w:r>
              <w:rPr>
                <w:rFonts w:hint="eastAsia" w:ascii="宋体" w:hAnsi="宋体"/>
                <w:sz w:val="20"/>
                <w:szCs w:val="20"/>
              </w:rPr>
              <w:t>是</w:t>
            </w:r>
            <w:r>
              <w:rPr>
                <w:rFonts w:hint="eastAsia" w:ascii="宋体" w:hAnsi="宋体"/>
                <w:color w:val="000000"/>
                <w:spacing w:val="-10"/>
                <w:sz w:val="20"/>
                <w:szCs w:val="20"/>
              </w:rPr>
              <w:sym w:font="Wingdings 2" w:char="00A3"/>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default" w:ascii="宋体"/>
                <w:color w:val="auto"/>
                <w:sz w:val="20"/>
                <w:szCs w:val="20"/>
                <w:lang w:val="en-US" w:eastAsia="zh-CN"/>
              </w:rPr>
            </w:pPr>
            <w:r>
              <w:rPr>
                <w:rFonts w:hint="default" w:ascii="宋体"/>
                <w:color w:val="auto"/>
                <w:sz w:val="20"/>
                <w:szCs w:val="20"/>
                <w:lang w:val="en-US" w:eastAsia="zh-CN"/>
              </w:rPr>
              <w:t>GER系列自动化控制设备的开发、生产、技术服务流程：</w:t>
            </w:r>
          </w:p>
          <w:p>
            <w:pPr>
              <w:rPr>
                <w:rFonts w:hint="eastAsia" w:ascii="宋体"/>
                <w:color w:val="auto"/>
                <w:sz w:val="20"/>
                <w:szCs w:val="20"/>
              </w:rPr>
            </w:pPr>
            <w:r>
              <w:rPr>
                <w:rFonts w:hint="eastAsia" w:ascii="宋体"/>
                <w:color w:val="auto"/>
                <w:sz w:val="20"/>
                <w:szCs w:val="20"/>
                <w:lang w:val="en-US" w:eastAsia="zh-CN"/>
              </w:rPr>
              <w:t>立项→制定开发任务书 →编制开发方案 →设计开发（软件、结构、电路）→部件委托加工--组装（机箱显示面板安装---功能模件安装----机箱背板安装---装置固定件系统紧固）→测试→交付→技术服务（客户要求→问题解决→客户确认）</w:t>
            </w:r>
          </w:p>
          <w:p>
            <w:pPr>
              <w:rPr>
                <w:rFonts w:hint="eastAsia" w:ascii="宋体"/>
                <w:color w:val="auto"/>
                <w:sz w:val="20"/>
                <w:szCs w:val="20"/>
              </w:rPr>
            </w:pPr>
            <w:r>
              <w:rPr>
                <w:rFonts w:hint="eastAsia" w:ascii="宋体"/>
                <w:color w:val="auto"/>
                <w:sz w:val="20"/>
                <w:szCs w:val="20"/>
              </w:rPr>
              <w:t>软件开发流程：</w:t>
            </w:r>
            <w:r>
              <w:rPr>
                <w:rFonts w:hint="eastAsia" w:ascii="宋体"/>
                <w:color w:val="auto"/>
                <w:sz w:val="20"/>
                <w:szCs w:val="20"/>
                <w:lang w:val="en-US" w:eastAsia="zh-CN"/>
              </w:rPr>
              <w:t>立项</w:t>
            </w:r>
            <w:r>
              <w:rPr>
                <w:rFonts w:hint="eastAsia" w:ascii="宋体"/>
                <w:color w:val="auto"/>
                <w:sz w:val="20"/>
                <w:szCs w:val="20"/>
              </w:rPr>
              <w:t>→制定开发任务书 →编制开发方案 → 编码→测试 →验收 → 售后</w:t>
            </w:r>
            <w:bookmarkStart w:id="8" w:name="_GoBack"/>
            <w:bookmarkEnd w:id="8"/>
          </w:p>
          <w:p>
            <w:pPr>
              <w:rPr>
                <w:rFonts w:ascii="宋体"/>
                <w:color w:val="auto"/>
                <w:sz w:val="20"/>
                <w:szCs w:val="20"/>
              </w:rPr>
            </w:pPr>
            <w:r>
              <w:rPr>
                <w:rFonts w:hint="eastAsia" w:ascii="宋体"/>
                <w:color w:val="auto"/>
                <w:sz w:val="20"/>
                <w:szCs w:val="20"/>
              </w:rPr>
              <w:t>系统集成项目流程：签订合同—确定需求—方案策划—设计开发—设备类采购—设备进场验收—系统安装调试—客户培训—客户验收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auto"/>
                <w:sz w:val="20"/>
                <w:szCs w:val="20"/>
                <w:lang w:val="en-US" w:eastAsia="zh-CN"/>
              </w:rPr>
            </w:pPr>
            <w:r>
              <w:rPr>
                <w:rFonts w:hint="eastAsia" w:ascii="宋体" w:hAnsi="宋体"/>
                <w:color w:val="auto"/>
                <w:sz w:val="20"/>
                <w:szCs w:val="20"/>
              </w:rPr>
              <w:t>关键过程有：</w:t>
            </w:r>
            <w:r>
              <w:rPr>
                <w:rFonts w:hint="eastAsia" w:ascii="宋体" w:hAnsi="宋体"/>
                <w:color w:val="auto"/>
                <w:sz w:val="20"/>
                <w:szCs w:val="20"/>
                <w:lang w:val="en-US" w:eastAsia="zh-CN"/>
              </w:rPr>
              <w:t>设计开发过程、组装过程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auto"/>
                <w:sz w:val="20"/>
                <w:szCs w:val="20"/>
                <w:lang w:val="en-US" w:eastAsia="zh-CN"/>
              </w:rPr>
            </w:pPr>
            <w:r>
              <w:rPr>
                <w:rFonts w:hint="eastAsia" w:ascii="宋体" w:hAnsi="宋体"/>
                <w:color w:val="auto"/>
                <w:sz w:val="20"/>
                <w:szCs w:val="20"/>
              </w:rPr>
              <w:t>针对关键过程建立的控制文件有：产品开发流程控制</w:t>
            </w:r>
            <w:r>
              <w:rPr>
                <w:rFonts w:hint="eastAsia" w:ascii="宋体" w:hAnsi="宋体"/>
                <w:color w:val="auto"/>
                <w:sz w:val="20"/>
                <w:szCs w:val="20"/>
                <w:lang w:eastAsia="zh-CN"/>
              </w:rPr>
              <w:t>、产品开发版本控制、生产过程控制</w:t>
            </w:r>
            <w:r>
              <w:rPr>
                <w:rFonts w:hint="eastAsia" w:ascii="宋体" w:hAnsi="宋体"/>
                <w:color w:val="auto"/>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auto"/>
                <w:spacing w:val="-10"/>
                <w:sz w:val="20"/>
                <w:szCs w:val="20"/>
                <w:lang w:val="en-US" w:eastAsia="zh-CN"/>
              </w:rPr>
            </w:pPr>
            <w:r>
              <w:rPr>
                <w:rFonts w:hint="eastAsia" w:ascii="宋体" w:hAnsi="宋体"/>
                <w:color w:val="auto"/>
                <w:sz w:val="20"/>
                <w:szCs w:val="20"/>
              </w:rPr>
              <w:t>需要确认过程：PCB板</w:t>
            </w:r>
            <w:r>
              <w:rPr>
                <w:rFonts w:hint="eastAsia" w:ascii="宋体" w:hAnsi="宋体"/>
                <w:color w:val="auto"/>
                <w:sz w:val="20"/>
                <w:szCs w:val="20"/>
                <w:lang w:val="en-US" w:eastAsia="zh-CN"/>
              </w:rPr>
              <w:t>焊接、技术服务过程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auto"/>
                <w:spacing w:val="-10"/>
                <w:sz w:val="20"/>
                <w:szCs w:val="20"/>
              </w:rPr>
            </w:pPr>
            <w:r>
              <w:rPr>
                <w:rFonts w:hint="eastAsia" w:ascii="宋体" w:hAnsi="宋体"/>
                <w:color w:val="auto"/>
                <w:spacing w:val="-10"/>
                <w:sz w:val="20"/>
                <w:szCs w:val="20"/>
              </w:rPr>
              <w:t>是</w:t>
            </w:r>
            <w:r>
              <w:rPr>
                <w:rFonts w:hint="eastAsia" w:ascii="宋体"/>
                <w:color w:val="auto"/>
                <w:sz w:val="20"/>
                <w:szCs w:val="20"/>
              </w:rPr>
              <w:t>否明确了过程的确认方法</w:t>
            </w:r>
            <w:r>
              <w:rPr>
                <w:rFonts w:hint="eastAsia" w:ascii="宋体" w:hAnsi="宋体"/>
                <w:color w:val="auto"/>
                <w:spacing w:val="-10"/>
                <w:sz w:val="20"/>
                <w:szCs w:val="20"/>
              </w:rPr>
              <w:sym w:font="Wingdings 2" w:char="0052"/>
            </w:r>
            <w:r>
              <w:rPr>
                <w:rFonts w:hint="eastAsia" w:ascii="宋体" w:hAnsi="宋体"/>
                <w:color w:val="auto"/>
                <w:sz w:val="20"/>
                <w:szCs w:val="20"/>
              </w:rPr>
              <w:t>是</w:t>
            </w:r>
            <w:r>
              <w:rPr>
                <w:rFonts w:hint="eastAsia" w:ascii="宋体" w:hAnsi="宋体"/>
                <w:color w:val="auto"/>
                <w:spacing w:val="-10"/>
                <w:sz w:val="20"/>
                <w:szCs w:val="20"/>
              </w:rPr>
              <w:sym w:font="Wingdings 2" w:char="00A3"/>
            </w:r>
            <w:r>
              <w:rPr>
                <w:rFonts w:hint="eastAsia" w:ascii="宋体" w:hAnsi="宋体"/>
                <w:color w:val="auto"/>
                <w:sz w:val="20"/>
                <w:szCs w:val="20"/>
              </w:rPr>
              <w:t>否</w:t>
            </w:r>
            <w:r>
              <w:rPr>
                <w:rFonts w:hint="eastAsia" w:ascii="宋体" w:hAnsi="宋体"/>
                <w:color w:val="auto"/>
                <w:spacing w:val="-10"/>
                <w:sz w:val="20"/>
                <w:szCs w:val="20"/>
              </w:rPr>
              <w:t>是</w:t>
            </w:r>
            <w:r>
              <w:rPr>
                <w:rFonts w:hint="eastAsia" w:ascii="宋体"/>
                <w:color w:val="auto"/>
                <w:sz w:val="20"/>
                <w:szCs w:val="20"/>
              </w:rPr>
              <w:t>否明确了过程的确认准则</w:t>
            </w:r>
            <w:r>
              <w:rPr>
                <w:rFonts w:hint="eastAsia" w:ascii="宋体" w:hAnsi="宋体"/>
                <w:color w:val="auto"/>
                <w:spacing w:val="-10"/>
                <w:sz w:val="20"/>
                <w:szCs w:val="20"/>
              </w:rPr>
              <w:sym w:font="Wingdings 2" w:char="0052"/>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auto"/>
                <w:spacing w:val="-10"/>
                <w:sz w:val="20"/>
                <w:szCs w:val="20"/>
                <w:lang w:val="en-US" w:eastAsia="zh-CN"/>
              </w:rPr>
            </w:pPr>
            <w:r>
              <w:rPr>
                <w:rFonts w:hint="eastAsia" w:ascii="宋体" w:hAnsi="宋体"/>
                <w:color w:val="auto"/>
                <w:sz w:val="20"/>
                <w:szCs w:val="20"/>
              </w:rPr>
              <w:t>外包过程有：</w:t>
            </w:r>
            <w:r>
              <w:rPr>
                <w:rFonts w:hint="default" w:ascii="宋体"/>
                <w:color w:val="auto"/>
                <w:sz w:val="20"/>
                <w:szCs w:val="20"/>
                <w:lang w:val="en-US" w:eastAsia="zh-CN"/>
              </w:rPr>
              <w:t>部件委托加工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是否明确了外包过程的控制方法：外部供方质量控制程序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auto"/>
                <w:spacing w:val="-10"/>
                <w:sz w:val="20"/>
                <w:szCs w:val="20"/>
                <w:lang w:val="en-US" w:eastAsia="zh-CN"/>
              </w:rPr>
            </w:pPr>
            <w:r>
              <w:rPr>
                <w:rFonts w:hint="eastAsia" w:ascii="宋体" w:hAnsi="宋体"/>
                <w:color w:val="auto"/>
                <w:spacing w:val="-10"/>
                <w:sz w:val="20"/>
                <w:szCs w:val="20"/>
              </w:rPr>
              <w:t>主要设备：电动螺丝刀</w:t>
            </w:r>
            <w:r>
              <w:rPr>
                <w:rFonts w:hint="eastAsia" w:ascii="宋体" w:hAnsi="宋体"/>
                <w:color w:val="auto"/>
                <w:spacing w:val="-10"/>
                <w:sz w:val="20"/>
                <w:szCs w:val="20"/>
                <w:lang w:eastAsia="zh-CN"/>
              </w:rPr>
              <w:t>、</w:t>
            </w:r>
            <w:r>
              <w:rPr>
                <w:rFonts w:hint="eastAsia" w:ascii="宋体" w:hAnsi="宋体"/>
                <w:color w:val="auto"/>
                <w:spacing w:val="-10"/>
                <w:sz w:val="20"/>
                <w:szCs w:val="20"/>
              </w:rPr>
              <w:t>电烙铁</w:t>
            </w:r>
            <w:r>
              <w:rPr>
                <w:rFonts w:hint="eastAsia" w:ascii="宋体" w:hAnsi="宋体"/>
                <w:color w:val="auto"/>
                <w:spacing w:val="-10"/>
                <w:sz w:val="20"/>
                <w:szCs w:val="20"/>
                <w:lang w:eastAsia="zh-CN"/>
              </w:rPr>
              <w:t>、</w:t>
            </w:r>
            <w:r>
              <w:rPr>
                <w:rFonts w:hint="eastAsia" w:ascii="宋体" w:hAnsi="宋体"/>
                <w:color w:val="auto"/>
                <w:spacing w:val="-10"/>
                <w:sz w:val="20"/>
                <w:szCs w:val="20"/>
              </w:rPr>
              <w:t>手电钻</w:t>
            </w:r>
            <w:r>
              <w:rPr>
                <w:rFonts w:hint="eastAsia" w:ascii="宋体" w:hAnsi="宋体"/>
                <w:color w:val="auto"/>
                <w:spacing w:val="-10"/>
                <w:sz w:val="20"/>
                <w:szCs w:val="20"/>
                <w:lang w:eastAsia="zh-CN"/>
              </w:rPr>
              <w:t>、</w:t>
            </w:r>
            <w:r>
              <w:rPr>
                <w:rFonts w:hint="eastAsia" w:ascii="宋体" w:hAnsi="宋体"/>
                <w:color w:val="auto"/>
                <w:spacing w:val="-10"/>
                <w:sz w:val="20"/>
                <w:szCs w:val="20"/>
              </w:rPr>
              <w:t>交流接触调压器</w:t>
            </w:r>
            <w:r>
              <w:rPr>
                <w:rFonts w:hint="eastAsia" w:ascii="宋体" w:hAnsi="宋体"/>
                <w:color w:val="auto"/>
                <w:spacing w:val="-10"/>
                <w:sz w:val="20"/>
                <w:szCs w:val="20"/>
                <w:lang w:eastAsia="zh-CN"/>
              </w:rPr>
              <w:t>、</w:t>
            </w:r>
            <w:r>
              <w:rPr>
                <w:rFonts w:hint="eastAsia" w:ascii="宋体" w:hAnsi="宋体"/>
                <w:color w:val="auto"/>
                <w:spacing w:val="-10"/>
                <w:sz w:val="20"/>
                <w:szCs w:val="20"/>
              </w:rPr>
              <w:t>手动试压泵</w:t>
            </w:r>
            <w:r>
              <w:rPr>
                <w:rFonts w:hint="eastAsia" w:ascii="宋体" w:hAnsi="宋体"/>
                <w:color w:val="auto"/>
                <w:spacing w:val="-10"/>
                <w:sz w:val="20"/>
                <w:szCs w:val="20"/>
                <w:lang w:eastAsia="zh-CN"/>
              </w:rPr>
              <w:t>、</w:t>
            </w:r>
            <w:r>
              <w:rPr>
                <w:rFonts w:hint="eastAsia" w:ascii="宋体" w:hAnsi="宋体"/>
                <w:color w:val="auto"/>
                <w:spacing w:val="-10"/>
                <w:sz w:val="20"/>
                <w:szCs w:val="20"/>
              </w:rPr>
              <w:t>换能器压力试验装置</w:t>
            </w:r>
            <w:r>
              <w:rPr>
                <w:rFonts w:hint="eastAsia" w:ascii="宋体" w:hAnsi="宋体"/>
                <w:color w:val="auto"/>
                <w:spacing w:val="-10"/>
                <w:sz w:val="20"/>
                <w:szCs w:val="20"/>
                <w:lang w:eastAsia="zh-CN"/>
              </w:rPr>
              <w:t>、</w:t>
            </w:r>
            <w:r>
              <w:rPr>
                <w:rFonts w:hint="eastAsia" w:ascii="宋体" w:hAnsi="宋体"/>
                <w:color w:val="auto"/>
                <w:spacing w:val="-10"/>
                <w:sz w:val="20"/>
                <w:szCs w:val="20"/>
              </w:rPr>
              <w:t>多功能试验水槽</w:t>
            </w:r>
            <w:r>
              <w:rPr>
                <w:rFonts w:hint="eastAsia" w:ascii="宋体" w:hAnsi="宋体"/>
                <w:color w:val="auto"/>
                <w:spacing w:val="-10"/>
                <w:sz w:val="20"/>
                <w:szCs w:val="20"/>
                <w:lang w:eastAsia="zh-CN"/>
              </w:rPr>
              <w:t>、</w:t>
            </w:r>
            <w:r>
              <w:rPr>
                <w:rFonts w:hint="eastAsia" w:ascii="宋体" w:hAnsi="宋体"/>
                <w:color w:val="auto"/>
                <w:spacing w:val="-10"/>
                <w:sz w:val="20"/>
                <w:szCs w:val="20"/>
              </w:rPr>
              <w:t>电动拖车</w:t>
            </w:r>
            <w:r>
              <w:rPr>
                <w:rFonts w:hint="eastAsia" w:ascii="宋体" w:hAnsi="宋体"/>
                <w:color w:val="auto"/>
                <w:spacing w:val="-10"/>
                <w:sz w:val="20"/>
                <w:szCs w:val="20"/>
                <w:lang w:eastAsia="zh-CN"/>
              </w:rPr>
              <w:t>、</w:t>
            </w:r>
            <w:r>
              <w:rPr>
                <w:rFonts w:hint="eastAsia" w:ascii="宋体" w:hAnsi="宋体"/>
                <w:color w:val="auto"/>
                <w:spacing w:val="-10"/>
                <w:sz w:val="20"/>
                <w:szCs w:val="20"/>
                <w:lang w:val="en-US" w:eastAsia="zh-CN"/>
              </w:rPr>
              <w:t>电脑、打印机</w:t>
            </w:r>
            <w:r>
              <w:rPr>
                <w:rFonts w:hint="eastAsia" w:ascii="宋体"/>
                <w:color w:val="auto"/>
                <w:spacing w:val="-1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设备是否满足要求</w:t>
            </w:r>
            <w:r>
              <w:rPr>
                <w:rFonts w:hint="eastAsia" w:ascii="宋体" w:hAnsi="宋体"/>
                <w:color w:val="auto"/>
                <w:sz w:val="20"/>
                <w:szCs w:val="20"/>
              </w:rPr>
              <w:sym w:font="Wingdings 2" w:char="0052"/>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特种设备：</w:t>
            </w:r>
            <w:r>
              <w:rPr>
                <w:rFonts w:hint="eastAsia" w:ascii="宋体" w:hAnsi="宋体"/>
                <w:color w:val="auto"/>
                <w:spacing w:val="-1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特种设备是否按规定检定</w:t>
            </w:r>
            <w:r>
              <w:rPr>
                <w:rFonts w:hint="eastAsia" w:ascii="宋体" w:hAnsi="宋体"/>
                <w:color w:val="auto"/>
                <w:sz w:val="20"/>
                <w:szCs w:val="20"/>
              </w:rPr>
              <w:sym w:font="Wingdings 2" w:char="00A3"/>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auto"/>
                <w:sz w:val="20"/>
                <w:szCs w:val="20"/>
              </w:rPr>
            </w:pPr>
            <w:r>
              <w:rPr>
                <w:rFonts w:hint="eastAsia" w:ascii="宋体"/>
                <w:color w:val="auto"/>
                <w:sz w:val="20"/>
                <w:szCs w:val="20"/>
              </w:rPr>
              <w:t>监视和测量设备（请简述主要监视和测量设备）：带表卡尺</w:t>
            </w:r>
            <w:r>
              <w:rPr>
                <w:rFonts w:hint="eastAsia" w:ascii="宋体"/>
                <w:color w:val="auto"/>
                <w:sz w:val="20"/>
                <w:szCs w:val="20"/>
                <w:lang w:eastAsia="zh-CN"/>
              </w:rPr>
              <w:t>、干湿球温湿度计、</w:t>
            </w:r>
            <w:r>
              <w:rPr>
                <w:rFonts w:hint="eastAsia" w:ascii="宋体"/>
                <w:color w:val="auto"/>
                <w:sz w:val="20"/>
                <w:szCs w:val="20"/>
                <w:lang w:val="en-US" w:eastAsia="zh-CN"/>
              </w:rPr>
              <w:t>钢卷尺、钢直尺、工作用玻璃液体温度计、激光光学经纬度仪、绝缘电阻表、耐压测试仪、内径千分尺、数字万用表、压力表</w:t>
            </w:r>
            <w:r>
              <w:rPr>
                <w:rFonts w:hint="eastAsia" w:asciiTheme="minorEastAsia" w:hAnsiTheme="minorEastAsia" w:eastAsiaTheme="minorEastAsia" w:cstheme="minorEastAsia"/>
                <w:color w:val="auto"/>
                <w:szCs w:val="21"/>
              </w:rPr>
              <w:t>等检测设备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无特殊要求、干净整洁即可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技术开发部、生产工程部、质量管理部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设计开发过程、生产</w:t>
            </w:r>
            <w:r>
              <w:rPr>
                <w:rFonts w:hint="eastAsia" w:ascii="宋体" w:hAnsi="宋体"/>
                <w:b/>
                <w:color w:val="000000"/>
                <w:sz w:val="20"/>
                <w:szCs w:val="20"/>
              </w:rPr>
              <w:t>过程控制、放行控制</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生产车间、技术开发部、系统集成现场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策划了目的、</w:t>
            </w:r>
            <w:r>
              <w:rPr>
                <w:rFonts w:hint="eastAsia" w:ascii="宋体" w:hAnsi="宋体"/>
                <w:b/>
                <w:color w:val="000000"/>
                <w:sz w:val="20"/>
                <w:szCs w:val="20"/>
                <w:lang w:val="en-US" w:eastAsia="zh-CN"/>
              </w:rPr>
              <w:t>部门</w:t>
            </w:r>
            <w:r>
              <w:rPr>
                <w:rFonts w:hint="eastAsia" w:ascii="宋体" w:hAnsi="宋体"/>
                <w:b/>
                <w:color w:val="000000"/>
                <w:sz w:val="20"/>
                <w:szCs w:val="20"/>
              </w:rPr>
              <w:t>、</w:t>
            </w:r>
            <w:r>
              <w:rPr>
                <w:rFonts w:hint="eastAsia" w:ascii="宋体" w:hAnsi="宋体"/>
                <w:b/>
                <w:color w:val="000000"/>
                <w:sz w:val="20"/>
                <w:szCs w:val="20"/>
                <w:lang w:val="en-US" w:eastAsia="zh-CN"/>
              </w:rPr>
              <w:t>依据、范围、</w:t>
            </w:r>
            <w:r>
              <w:rPr>
                <w:rFonts w:hint="eastAsia" w:ascii="宋体" w:hAnsi="宋体"/>
                <w:b/>
                <w:color w:val="000000"/>
                <w:sz w:val="20"/>
                <w:szCs w:val="20"/>
              </w:rPr>
              <w:t>内审员、各部门审核内容、及安排等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覆盖管理系统范围内活动及标准要求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
                <w:color w:val="000000"/>
                <w:sz w:val="20"/>
                <w:szCs w:val="20"/>
              </w:rPr>
            </w:pPr>
            <w:r>
              <w:rPr>
                <w:rFonts w:hint="eastAsia" w:ascii="宋体" w:hAnsi="宋体"/>
                <w:b/>
                <w:color w:val="000000"/>
                <w:sz w:val="20"/>
                <w:szCs w:val="20"/>
              </w:rPr>
              <w:t xml:space="preserve"> 体系运行情况正常有效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策划了目的、</w:t>
            </w:r>
            <w:r>
              <w:rPr>
                <w:rFonts w:hint="eastAsia" w:ascii="宋体" w:hAnsi="宋体"/>
                <w:b/>
                <w:color w:val="000000"/>
                <w:sz w:val="20"/>
                <w:szCs w:val="20"/>
                <w:lang w:val="en-US" w:eastAsia="zh-CN"/>
              </w:rPr>
              <w:t>依据、程序</w:t>
            </w:r>
            <w:r>
              <w:rPr>
                <w:rFonts w:hint="eastAsia" w:ascii="宋体" w:hAnsi="宋体"/>
                <w:b/>
                <w:color w:val="000000"/>
                <w:sz w:val="20"/>
                <w:szCs w:val="20"/>
              </w:rPr>
              <w:t>、</w:t>
            </w:r>
            <w:r>
              <w:rPr>
                <w:rFonts w:hint="eastAsia" w:ascii="宋体" w:hAnsi="宋体"/>
                <w:b/>
                <w:color w:val="000000"/>
                <w:sz w:val="20"/>
                <w:szCs w:val="20"/>
                <w:lang w:val="en-US" w:eastAsia="zh-CN"/>
              </w:rPr>
              <w:t>内容、时间</w:t>
            </w:r>
            <w:r>
              <w:rPr>
                <w:rFonts w:hint="eastAsia" w:ascii="宋体" w:hAnsi="宋体"/>
                <w:b/>
                <w:color w:val="000000"/>
                <w:sz w:val="20"/>
                <w:szCs w:val="20"/>
              </w:rPr>
              <w:t>、各部门准备资料等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输入充分，内容覆盖标准条款内容。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
                <w:color w:val="000000"/>
                <w:sz w:val="20"/>
                <w:szCs w:val="20"/>
              </w:rPr>
            </w:pPr>
            <w:r>
              <w:rPr>
                <w:rFonts w:ascii="宋体" w:hAnsi="宋体"/>
                <w:b/>
                <w:color w:val="000000"/>
                <w:sz w:val="20"/>
                <w:szCs w:val="20"/>
              </w:rPr>
              <w:t>1</w:t>
            </w:r>
            <w:r>
              <w:rPr>
                <w:rFonts w:hint="eastAsia" w:ascii="宋体" w:hAnsi="宋体"/>
                <w:b/>
                <w:color w:val="000000"/>
                <w:sz w:val="20"/>
                <w:szCs w:val="20"/>
              </w:rPr>
              <w:t>、质量管理体系的符合性</w:t>
            </w:r>
            <w:r>
              <w:rPr>
                <w:rFonts w:ascii="宋体" w:hAnsi="宋体"/>
                <w:b/>
                <w:color w:val="000000"/>
                <w:sz w:val="20"/>
                <w:szCs w:val="20"/>
              </w:rPr>
              <w:t xml:space="preserve">  </w:t>
            </w:r>
            <w:r>
              <w:rPr>
                <w:rFonts w:hint="eastAsia" w:ascii="宋体" w:hAnsi="宋体"/>
                <w:b/>
                <w:color w:val="000000"/>
                <w:sz w:val="20"/>
                <w:szCs w:val="20"/>
              </w:rPr>
              <w:t>√</w:t>
            </w:r>
            <w:r>
              <w:rPr>
                <w:rFonts w:ascii="宋体" w:hAnsi="宋体"/>
                <w:b/>
                <w:color w:val="000000"/>
                <w:sz w:val="20"/>
                <w:szCs w:val="20"/>
              </w:rPr>
              <w:t xml:space="preserve">             2</w:t>
            </w:r>
            <w:r>
              <w:rPr>
                <w:rFonts w:hint="eastAsia" w:ascii="宋体" w:hAnsi="宋体"/>
                <w:b/>
                <w:color w:val="000000"/>
                <w:sz w:val="20"/>
                <w:szCs w:val="20"/>
              </w:rPr>
              <w:t>、质量管理体系的适宜性</w:t>
            </w:r>
            <w:r>
              <w:rPr>
                <w:rFonts w:ascii="宋体" w:hAnsi="宋体"/>
                <w:b/>
                <w:color w:val="000000"/>
                <w:sz w:val="20"/>
                <w:szCs w:val="20"/>
              </w:rPr>
              <w:t xml:space="preserve">  </w:t>
            </w:r>
            <w:r>
              <w:rPr>
                <w:rFonts w:hint="eastAsia" w:ascii="宋体" w:hAnsi="宋体"/>
                <w:b/>
                <w:color w:val="000000"/>
                <w:sz w:val="20"/>
                <w:szCs w:val="20"/>
              </w:rPr>
              <w:t>√</w:t>
            </w:r>
          </w:p>
          <w:p>
            <w:pPr>
              <w:spacing w:line="260" w:lineRule="exact"/>
              <w:rPr>
                <w:rFonts w:ascii="宋体" w:hAnsi="宋体"/>
                <w:b/>
                <w:color w:val="000000"/>
                <w:sz w:val="20"/>
                <w:szCs w:val="20"/>
              </w:rPr>
            </w:pPr>
            <w:r>
              <w:rPr>
                <w:rFonts w:ascii="宋体" w:hAnsi="宋体"/>
                <w:b/>
                <w:color w:val="000000"/>
                <w:sz w:val="20"/>
                <w:szCs w:val="20"/>
              </w:rPr>
              <w:t>3</w:t>
            </w:r>
            <w:r>
              <w:rPr>
                <w:rFonts w:hint="eastAsia" w:ascii="宋体" w:hAnsi="宋体"/>
                <w:b/>
                <w:color w:val="000000"/>
                <w:sz w:val="20"/>
                <w:szCs w:val="20"/>
              </w:rPr>
              <w:t>、质量管理体系的充分性</w:t>
            </w:r>
            <w:r>
              <w:rPr>
                <w:rFonts w:ascii="宋体" w:hAnsi="宋体"/>
                <w:b/>
                <w:color w:val="000000"/>
                <w:sz w:val="20"/>
                <w:szCs w:val="20"/>
              </w:rPr>
              <w:t xml:space="preserve"> </w:t>
            </w:r>
            <w:r>
              <w:rPr>
                <w:rFonts w:hint="eastAsia" w:ascii="宋体" w:hAnsi="宋体"/>
                <w:b/>
                <w:color w:val="000000"/>
                <w:sz w:val="20"/>
                <w:szCs w:val="20"/>
              </w:rPr>
              <w:t>√</w:t>
            </w:r>
            <w:r>
              <w:rPr>
                <w:rFonts w:ascii="宋体" w:hAnsi="宋体"/>
                <w:b/>
                <w:color w:val="000000"/>
                <w:sz w:val="20"/>
                <w:szCs w:val="20"/>
              </w:rPr>
              <w:t xml:space="preserve">              4</w:t>
            </w:r>
            <w:r>
              <w:rPr>
                <w:rFonts w:hint="eastAsia" w:ascii="宋体" w:hAnsi="宋体"/>
                <w:b/>
                <w:color w:val="000000"/>
                <w:sz w:val="20"/>
                <w:szCs w:val="20"/>
              </w:rPr>
              <w:t>、质量管理体系的有效性</w:t>
            </w:r>
            <w:r>
              <w:rPr>
                <w:rFonts w:ascii="宋体" w:hAnsi="宋体"/>
                <w:b/>
                <w:color w:val="000000"/>
                <w:sz w:val="20"/>
                <w:szCs w:val="20"/>
              </w:rPr>
              <w:t xml:space="preserve">  </w:t>
            </w:r>
            <w:r>
              <w:rPr>
                <w:rFonts w:hint="eastAsia" w:ascii="宋体" w:hAnsi="宋体"/>
                <w:b/>
                <w:color w:val="000000"/>
                <w:sz w:val="20"/>
                <w:szCs w:val="20"/>
              </w:rPr>
              <w:t>√</w:t>
            </w:r>
          </w:p>
          <w:p>
            <w:pPr>
              <w:spacing w:line="260" w:lineRule="exact"/>
              <w:rPr>
                <w:rFonts w:ascii="宋体" w:hAnsi="宋体"/>
                <w:b/>
                <w:color w:val="000000"/>
                <w:sz w:val="20"/>
                <w:szCs w:val="20"/>
              </w:rPr>
            </w:pPr>
            <w:r>
              <w:rPr>
                <w:rFonts w:ascii="宋体" w:hAnsi="宋体"/>
                <w:b/>
                <w:color w:val="000000"/>
                <w:sz w:val="20"/>
                <w:szCs w:val="20"/>
              </w:rPr>
              <w:t>5</w:t>
            </w:r>
            <w:r>
              <w:rPr>
                <w:rFonts w:hint="eastAsia" w:ascii="宋体" w:hAnsi="宋体"/>
                <w:b/>
                <w:color w:val="000000"/>
                <w:sz w:val="20"/>
                <w:szCs w:val="20"/>
              </w:rPr>
              <w:t>、其他内容、结论：</w:t>
            </w:r>
          </w:p>
          <w:p>
            <w:pPr>
              <w:spacing w:line="260" w:lineRule="exact"/>
              <w:rPr>
                <w:rFonts w:ascii="宋体" w:hAnsi="宋体"/>
                <w:b/>
                <w:color w:val="000000"/>
                <w:sz w:val="20"/>
                <w:szCs w:val="20"/>
              </w:rPr>
            </w:pPr>
            <w:r>
              <w:rPr>
                <w:rFonts w:hint="eastAsia" w:ascii="宋体" w:hAnsi="宋体"/>
                <w:b/>
                <w:color w:val="000000"/>
                <w:sz w:val="20"/>
                <w:szCs w:val="20"/>
              </w:rPr>
              <w:t>根据内审提交的情况，各部门都能按照质量体系要求进行控制，完善，但是也存在不少问题，有些是重复出现的，说明这些问题没有引起相关部门的足够重视，希望大家不断改进，逐步完善。从内审的情况来看，公司质量体系符合实际情况并且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b/>
                <w:color w:val="000000"/>
                <w:szCs w:val="21"/>
              </w:rPr>
              <w:t>内审、管理评审基本有效，已具备二阶段审核条件。</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A3"/>
      </w: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p>
    <w:p>
      <w:pPr>
        <w:spacing w:before="156" w:beforeLines="50" w:after="62" w:afterLines="20" w:line="360" w:lineRule="exact"/>
        <w:rPr>
          <w:rFonts w:ascii="宋体"/>
          <w:b/>
          <w:bCs/>
          <w:color w:val="000000"/>
          <w:sz w:val="26"/>
          <w:szCs w:val="26"/>
        </w:rPr>
      </w:pPr>
      <w:r>
        <w:drawing>
          <wp:anchor distT="0" distB="0" distL="114300" distR="114300" simplePos="0" relativeHeight="251658240" behindDoc="1" locked="0" layoutInCell="1" allowOverlap="1">
            <wp:simplePos x="0" y="0"/>
            <wp:positionH relativeFrom="column">
              <wp:posOffset>2007235</wp:posOffset>
            </wp:positionH>
            <wp:positionV relativeFrom="paragraph">
              <wp:posOffset>121285</wp:posOffset>
            </wp:positionV>
            <wp:extent cx="1025525" cy="58610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025525" cy="58610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drawing>
          <wp:anchor distT="0" distB="0" distL="114300" distR="114300" simplePos="0" relativeHeight="251661312" behindDoc="1" locked="0" layoutInCell="1" allowOverlap="1">
            <wp:simplePos x="0" y="0"/>
            <wp:positionH relativeFrom="column">
              <wp:posOffset>1892935</wp:posOffset>
            </wp:positionH>
            <wp:positionV relativeFrom="paragraph">
              <wp:posOffset>26670</wp:posOffset>
            </wp:positionV>
            <wp:extent cx="717550" cy="533400"/>
            <wp:effectExtent l="0" t="0" r="635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717550" cy="533400"/>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2020年</w:t>
      </w:r>
      <w:r>
        <w:rPr>
          <w:rFonts w:hint="eastAsia" w:ascii="宋体" w:hAnsi="宋体"/>
          <w:b/>
          <w:color w:val="000000"/>
          <w:lang w:val="en-US" w:eastAsia="zh-CN"/>
        </w:rPr>
        <w:t>7</w:t>
      </w:r>
      <w:r>
        <w:rPr>
          <w:rFonts w:hint="eastAsia" w:ascii="宋体" w:hAnsi="宋体"/>
          <w:b/>
          <w:color w:val="000000"/>
        </w:rPr>
        <w:t>月</w:t>
      </w:r>
      <w:r>
        <w:rPr>
          <w:rFonts w:hint="eastAsia" w:ascii="宋体" w:hAnsi="宋体"/>
          <w:b/>
          <w:color w:val="000000"/>
          <w:lang w:val="en-US" w:eastAsia="zh-CN"/>
        </w:rPr>
        <w:t>21</w:t>
      </w:r>
      <w:r>
        <w:rPr>
          <w:rFonts w:hint="eastAsia" w:ascii="宋体" w:hAnsi="宋体"/>
          <w:b/>
          <w:color w:val="000000"/>
        </w:rPr>
        <w:t>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pStyle w:val="6"/>
        <w:pBdr>
          <w:bottom w:val="none" w:color="auto" w:sz="0" w:space="0"/>
        </w:pBdr>
        <w:ind w:right="600" w:firstLine="660"/>
        <w:rPr>
          <w:rFonts w:eastAsia="隶书"/>
          <w:color w:val="000000"/>
          <w:sz w:val="32"/>
          <w:szCs w:val="32"/>
        </w:rPr>
      </w:pPr>
    </w:p>
    <w:p>
      <w:pPr>
        <w:pStyle w:val="6"/>
        <w:pBdr>
          <w:bottom w:val="none" w:color="auto" w:sz="0" w:space="0"/>
        </w:pBdr>
        <w:ind w:right="600"/>
        <w:jc w:val="both"/>
        <w:rPr>
          <w:rFonts w:eastAsia="隶书"/>
          <w:color w:val="000000"/>
          <w:sz w:val="32"/>
          <w:szCs w:val="32"/>
        </w:rPr>
      </w:pPr>
    </w:p>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Gungsuh">
    <w:altName w:val="Malgun Gothic"/>
    <w:panose1 w:val="02030600000101010101"/>
    <w:charset w:val="81"/>
    <w:family w:val="roman"/>
    <w:pitch w:val="default"/>
    <w:sig w:usb0="00000000" w:usb1="00000000" w:usb2="00000030" w:usb3="00000000" w:csb0="0008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6"/>
      <w:pBdr>
        <w:bottom w:val="none" w:color="auto" w:sz="0" w:space="1"/>
      </w:pBdr>
      <w:spacing w:line="320" w:lineRule="exact"/>
      <w:ind w:firstLine="720" w:firstLineChars="400"/>
      <w:jc w:val="left"/>
    </w:pPr>
    <w:r>
      <w:pict>
        <v:shape id="文本框 1" o:spid="_x0000_s3074"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6"/>
        <w:rFonts w:hint="default"/>
        <w:w w:val="90"/>
      </w:rPr>
      <w:t>Beijing International Standard united Certification Co.,Ltd.</w:t>
    </w:r>
  </w:p>
  <w:p>
    <w:r>
      <w:pict>
        <v:shape id="_x0000_s3075" o:spid="_x0000_s3075"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3"/>
      <o:rules v:ext="edit">
        <o:r id="V:Rule1" type="connector" idref="#_x0000_s3075"/>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8AA"/>
    <w:rsid w:val="0001791B"/>
    <w:rsid w:val="00035289"/>
    <w:rsid w:val="00054BAB"/>
    <w:rsid w:val="00065B15"/>
    <w:rsid w:val="00072504"/>
    <w:rsid w:val="00084370"/>
    <w:rsid w:val="000A3715"/>
    <w:rsid w:val="000B1456"/>
    <w:rsid w:val="000C5A14"/>
    <w:rsid w:val="000C691C"/>
    <w:rsid w:val="000D203D"/>
    <w:rsid w:val="000D41B8"/>
    <w:rsid w:val="000E78BF"/>
    <w:rsid w:val="000F224E"/>
    <w:rsid w:val="0010395B"/>
    <w:rsid w:val="00134BFD"/>
    <w:rsid w:val="00140F7D"/>
    <w:rsid w:val="00146C97"/>
    <w:rsid w:val="00162C55"/>
    <w:rsid w:val="00183D5D"/>
    <w:rsid w:val="001B2618"/>
    <w:rsid w:val="001B7FFE"/>
    <w:rsid w:val="00203463"/>
    <w:rsid w:val="00217A0D"/>
    <w:rsid w:val="00231860"/>
    <w:rsid w:val="00232BB6"/>
    <w:rsid w:val="0024143C"/>
    <w:rsid w:val="002540A6"/>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A6B61"/>
    <w:rsid w:val="003C292D"/>
    <w:rsid w:val="003C5889"/>
    <w:rsid w:val="003D335B"/>
    <w:rsid w:val="003D4EA9"/>
    <w:rsid w:val="003E58DC"/>
    <w:rsid w:val="00416D71"/>
    <w:rsid w:val="0043150A"/>
    <w:rsid w:val="004338AA"/>
    <w:rsid w:val="00451CD3"/>
    <w:rsid w:val="00455916"/>
    <w:rsid w:val="00466AE6"/>
    <w:rsid w:val="00486ADF"/>
    <w:rsid w:val="004A0CBF"/>
    <w:rsid w:val="004A4446"/>
    <w:rsid w:val="004B4279"/>
    <w:rsid w:val="004F251A"/>
    <w:rsid w:val="005003C2"/>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E13D0"/>
    <w:rsid w:val="006F7AD0"/>
    <w:rsid w:val="00747F8A"/>
    <w:rsid w:val="00754DF6"/>
    <w:rsid w:val="00767600"/>
    <w:rsid w:val="0078148C"/>
    <w:rsid w:val="00787653"/>
    <w:rsid w:val="0079482C"/>
    <w:rsid w:val="007A52BA"/>
    <w:rsid w:val="007A7587"/>
    <w:rsid w:val="007B0C8F"/>
    <w:rsid w:val="007B12F5"/>
    <w:rsid w:val="007C3610"/>
    <w:rsid w:val="007D55C8"/>
    <w:rsid w:val="007D5C94"/>
    <w:rsid w:val="007F06CB"/>
    <w:rsid w:val="007F1B90"/>
    <w:rsid w:val="007F4989"/>
    <w:rsid w:val="00847693"/>
    <w:rsid w:val="00854F9A"/>
    <w:rsid w:val="00871B00"/>
    <w:rsid w:val="00874614"/>
    <w:rsid w:val="008925CF"/>
    <w:rsid w:val="0089273E"/>
    <w:rsid w:val="00896557"/>
    <w:rsid w:val="008C2E1A"/>
    <w:rsid w:val="008D090C"/>
    <w:rsid w:val="008D3CCE"/>
    <w:rsid w:val="008F59A4"/>
    <w:rsid w:val="00931B2C"/>
    <w:rsid w:val="009322A5"/>
    <w:rsid w:val="00933D2D"/>
    <w:rsid w:val="009365E1"/>
    <w:rsid w:val="00936C30"/>
    <w:rsid w:val="00966C26"/>
    <w:rsid w:val="009677FC"/>
    <w:rsid w:val="00976781"/>
    <w:rsid w:val="0097724F"/>
    <w:rsid w:val="009D09B6"/>
    <w:rsid w:val="009F5822"/>
    <w:rsid w:val="00A35AD2"/>
    <w:rsid w:val="00A45A99"/>
    <w:rsid w:val="00A45F1F"/>
    <w:rsid w:val="00A57188"/>
    <w:rsid w:val="00A66F07"/>
    <w:rsid w:val="00A86665"/>
    <w:rsid w:val="00AA0934"/>
    <w:rsid w:val="00AA645A"/>
    <w:rsid w:val="00AB23A7"/>
    <w:rsid w:val="00AC0359"/>
    <w:rsid w:val="00AD1764"/>
    <w:rsid w:val="00B019A4"/>
    <w:rsid w:val="00B107F8"/>
    <w:rsid w:val="00B367EA"/>
    <w:rsid w:val="00B45ECB"/>
    <w:rsid w:val="00B52382"/>
    <w:rsid w:val="00B67A26"/>
    <w:rsid w:val="00B75FC6"/>
    <w:rsid w:val="00B87151"/>
    <w:rsid w:val="00BB115E"/>
    <w:rsid w:val="00BC76F9"/>
    <w:rsid w:val="00BE64CA"/>
    <w:rsid w:val="00C05807"/>
    <w:rsid w:val="00C408AA"/>
    <w:rsid w:val="00C45A34"/>
    <w:rsid w:val="00C557E5"/>
    <w:rsid w:val="00C64983"/>
    <w:rsid w:val="00C70853"/>
    <w:rsid w:val="00C73DE6"/>
    <w:rsid w:val="00C74FD8"/>
    <w:rsid w:val="00C81EA5"/>
    <w:rsid w:val="00CA0B06"/>
    <w:rsid w:val="00CB5B5A"/>
    <w:rsid w:val="00CC5C6F"/>
    <w:rsid w:val="00CC5D3D"/>
    <w:rsid w:val="00CC7F51"/>
    <w:rsid w:val="00CF7756"/>
    <w:rsid w:val="00D1718E"/>
    <w:rsid w:val="00D87803"/>
    <w:rsid w:val="00DD092B"/>
    <w:rsid w:val="00DD6639"/>
    <w:rsid w:val="00DD69B1"/>
    <w:rsid w:val="00DE78F6"/>
    <w:rsid w:val="00DF55BF"/>
    <w:rsid w:val="00E063C3"/>
    <w:rsid w:val="00E46514"/>
    <w:rsid w:val="00E654D7"/>
    <w:rsid w:val="00E837C5"/>
    <w:rsid w:val="00E8551A"/>
    <w:rsid w:val="00EA5E27"/>
    <w:rsid w:val="00EC3AC2"/>
    <w:rsid w:val="00EC5AF6"/>
    <w:rsid w:val="00ED43D0"/>
    <w:rsid w:val="00EE5187"/>
    <w:rsid w:val="00EF1786"/>
    <w:rsid w:val="00EF7D0C"/>
    <w:rsid w:val="00F07780"/>
    <w:rsid w:val="00F132D7"/>
    <w:rsid w:val="00F57EB8"/>
    <w:rsid w:val="00F651EB"/>
    <w:rsid w:val="00F769D3"/>
    <w:rsid w:val="00F9713E"/>
    <w:rsid w:val="00FA3157"/>
    <w:rsid w:val="00FB7F57"/>
    <w:rsid w:val="00FE639C"/>
    <w:rsid w:val="015E3B6A"/>
    <w:rsid w:val="02E07729"/>
    <w:rsid w:val="06BD5E66"/>
    <w:rsid w:val="0A77202E"/>
    <w:rsid w:val="0AE041E7"/>
    <w:rsid w:val="0BCF29C8"/>
    <w:rsid w:val="0F535AED"/>
    <w:rsid w:val="101202C2"/>
    <w:rsid w:val="10274B12"/>
    <w:rsid w:val="108825F6"/>
    <w:rsid w:val="16FD3349"/>
    <w:rsid w:val="1A992F52"/>
    <w:rsid w:val="1C102D09"/>
    <w:rsid w:val="1CD5576A"/>
    <w:rsid w:val="1CF33E33"/>
    <w:rsid w:val="1D094279"/>
    <w:rsid w:val="21A13CEC"/>
    <w:rsid w:val="25220C07"/>
    <w:rsid w:val="271F5230"/>
    <w:rsid w:val="28C16641"/>
    <w:rsid w:val="30A64288"/>
    <w:rsid w:val="31774497"/>
    <w:rsid w:val="351118A0"/>
    <w:rsid w:val="356E7D10"/>
    <w:rsid w:val="39D31C8D"/>
    <w:rsid w:val="3BEA2605"/>
    <w:rsid w:val="3DBD0DBF"/>
    <w:rsid w:val="42C741CF"/>
    <w:rsid w:val="438D3972"/>
    <w:rsid w:val="48397747"/>
    <w:rsid w:val="49916B26"/>
    <w:rsid w:val="4D454968"/>
    <w:rsid w:val="4E373A6E"/>
    <w:rsid w:val="4E7F1263"/>
    <w:rsid w:val="5009288E"/>
    <w:rsid w:val="52584BEE"/>
    <w:rsid w:val="53E040A8"/>
    <w:rsid w:val="53F74BE4"/>
    <w:rsid w:val="54FC06E1"/>
    <w:rsid w:val="57FE21D9"/>
    <w:rsid w:val="58BD5222"/>
    <w:rsid w:val="5B6B49C7"/>
    <w:rsid w:val="5D675D06"/>
    <w:rsid w:val="5DB7256F"/>
    <w:rsid w:val="61CB64C6"/>
    <w:rsid w:val="62362907"/>
    <w:rsid w:val="62981A39"/>
    <w:rsid w:val="64D05DA3"/>
    <w:rsid w:val="65344F47"/>
    <w:rsid w:val="660029F7"/>
    <w:rsid w:val="69CA6789"/>
    <w:rsid w:val="6A5F6C3E"/>
    <w:rsid w:val="6BB34483"/>
    <w:rsid w:val="6C3D5CBE"/>
    <w:rsid w:val="6E3043BF"/>
    <w:rsid w:val="6F1650F6"/>
    <w:rsid w:val="6F740BA1"/>
    <w:rsid w:val="75A05C2D"/>
    <w:rsid w:val="78707BF7"/>
    <w:rsid w:val="7B5C29F2"/>
    <w:rsid w:val="7D63602E"/>
    <w:rsid w:val="7DE70A68"/>
    <w:rsid w:val="7F9276E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locked/>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iPriority w:val="0"/>
    <w:pPr>
      <w:ind w:firstLine="560" w:firstLineChars="200"/>
    </w:pPr>
    <w:rPr>
      <w:sz w:val="28"/>
    </w:r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next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Char"/>
    <w:link w:val="6"/>
    <w:qFormat/>
    <w:locked/>
    <w:uiPriority w:val="99"/>
    <w:rPr>
      <w:rFonts w:ascii="Calibri" w:hAnsi="Calibri" w:eastAsia="宋体" w:cs="Times New Roman"/>
      <w:sz w:val="18"/>
      <w:szCs w:val="18"/>
    </w:rPr>
  </w:style>
  <w:style w:type="character" w:customStyle="1" w:styleId="13">
    <w:name w:val="批注框文本 Char"/>
    <w:link w:val="4"/>
    <w:semiHidden/>
    <w:qFormat/>
    <w:locked/>
    <w:uiPriority w:val="99"/>
    <w:rPr>
      <w:rFonts w:ascii="Times New Roman" w:hAnsi="Times New Roman" w:eastAsia="宋体" w:cs="Times New Roman"/>
      <w:sz w:val="18"/>
      <w:szCs w:val="18"/>
    </w:rPr>
  </w:style>
  <w:style w:type="character" w:customStyle="1" w:styleId="14">
    <w:name w:val="页脚 Char"/>
    <w:link w:val="5"/>
    <w:qFormat/>
    <w:locked/>
    <w:uiPriority w:val="99"/>
    <w:rPr>
      <w:rFonts w:ascii="Times New Roman" w:hAnsi="Times New Roman" w:eastAsia="宋体" w:cs="Times New Roman"/>
      <w:sz w:val="18"/>
      <w:szCs w:val="18"/>
    </w:rPr>
  </w:style>
  <w:style w:type="character" w:customStyle="1" w:styleId="15">
    <w:name w:val="副标题 Char"/>
    <w:link w:val="7"/>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1070</Words>
  <Characters>6100</Characters>
  <Lines>50</Lines>
  <Paragraphs>14</Paragraphs>
  <TotalTime>0</TotalTime>
  <ScaleCrop>false</ScaleCrop>
  <LinksUpToDate>false</LinksUpToDate>
  <CharactersWithSpaces>7156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acer</cp:lastModifiedBy>
  <dcterms:modified xsi:type="dcterms:W3CDTF">2020-07-24T00:42:17Z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