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-72390</wp:posOffset>
            </wp:positionH>
            <wp:positionV relativeFrom="paragraph">
              <wp:posOffset>-684530</wp:posOffset>
            </wp:positionV>
            <wp:extent cx="6591300" cy="8534400"/>
            <wp:effectExtent l="0" t="0" r="0" b="0"/>
            <wp:wrapNone/>
            <wp:docPr id="1" name="图片 1" descr="新文档 2020-07-31 10.11.00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31 10.11.00_25"/>
                    <pic:cNvPicPr>
                      <a:picLocks noChangeAspect="1"/>
                    </pic:cNvPicPr>
                  </pic:nvPicPr>
                  <pic:blipFill>
                    <a:blip r:embed="rId6"/>
                    <a:stretch>
                      <a:fillRect/>
                    </a:stretch>
                  </pic:blipFill>
                  <pic:spPr>
                    <a:xfrm>
                      <a:off x="0" y="0"/>
                      <a:ext cx="6591300"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福州天泽电气有限公司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B9358A"/>
    <w:rsid w:val="644C7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2020-08-01T09:01:53Z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